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1D7AADB" w14:textId="77777777" w:rsidR="00F94ABE" w:rsidRPr="00D62AF1" w:rsidRDefault="00110688" w:rsidP="0CAACC99">
      <w:pPr>
        <w:spacing w:after="0" w:line="240" w:lineRule="auto"/>
      </w:pPr>
      <w:r>
        <w:rPr>
          <w:rFonts w:cstheme="minorHAnsi"/>
          <w:b/>
          <w:bCs/>
          <w:noProof/>
        </w:rPr>
        <w:drawing>
          <wp:anchor distT="0" distB="0" distL="114300" distR="114300" simplePos="0" relativeHeight="251658241" behindDoc="0" locked="0" layoutInCell="1" allowOverlap="1" wp14:anchorId="7D66072D" wp14:editId="05700180">
            <wp:simplePos x="0" y="0"/>
            <wp:positionH relativeFrom="column">
              <wp:posOffset>-899160</wp:posOffset>
            </wp:positionH>
            <wp:positionV relativeFrom="page">
              <wp:posOffset>-95009</wp:posOffset>
            </wp:positionV>
            <wp:extent cx="7830185" cy="10116185"/>
            <wp:effectExtent l="0" t="0" r="5715" b="5715"/>
            <wp:wrapNone/>
            <wp:docPr id="15148740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874071" name="Pictur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830185" cy="10116185"/>
                    </a:xfrm>
                    <a:prstGeom prst="rect">
                      <a:avLst/>
                    </a:prstGeom>
                  </pic:spPr>
                </pic:pic>
              </a:graphicData>
            </a:graphic>
            <wp14:sizeRelH relativeFrom="page">
              <wp14:pctWidth>0</wp14:pctWidth>
            </wp14:sizeRelH>
            <wp14:sizeRelV relativeFrom="page">
              <wp14:pctHeight>0</wp14:pctHeight>
            </wp14:sizeRelV>
          </wp:anchor>
        </w:drawing>
      </w:r>
      <w:r>
        <w:t>alexx</w:t>
      </w:r>
    </w:p>
    <w:p w14:paraId="59C27D0E" w14:textId="77777777" w:rsidR="007E6681" w:rsidRPr="00D62AF1" w:rsidRDefault="007E6681" w:rsidP="0014064B">
      <w:pPr>
        <w:spacing w:after="0" w:line="240" w:lineRule="auto"/>
        <w:ind w:left="-1440"/>
        <w:rPr>
          <w:rFonts w:cstheme="minorHAnsi"/>
          <w:b/>
          <w:bCs/>
        </w:rPr>
      </w:pPr>
      <w:r>
        <w:rPr>
          <w:rFonts w:cstheme="minorHAnsi"/>
          <w:b/>
          <w:bCs/>
        </w:rPr>
        <w:br w:type="page"/>
      </w:r>
    </w:p>
    <w:p w14:paraId="154478B3" w14:textId="77777777" w:rsidR="00855EA9" w:rsidRPr="00D62AF1" w:rsidRDefault="00855EA9" w:rsidP="00031191">
      <w:pPr>
        <w:spacing w:after="0" w:line="240" w:lineRule="auto"/>
        <w:rPr>
          <w:rFonts w:cstheme="minorHAnsi"/>
          <w:color w:val="FF0000"/>
          <w:sz w:val="20"/>
          <w:szCs w:val="20"/>
        </w:rPr>
      </w:pPr>
      <w:r>
        <w:rPr>
          <w:rFonts w:cstheme="minorHAnsi"/>
          <w:color w:val="FF0000"/>
          <w:sz w:val="36"/>
          <w:szCs w:val="36"/>
        </w:rPr>
        <w:lastRenderedPageBreak/>
        <w:t>Table of contents</w:t>
      </w:r>
      <w:r>
        <w:rPr>
          <w:rFonts w:cstheme="minorHAnsi"/>
          <w:color w:val="FF0000"/>
          <w:sz w:val="36"/>
          <w:szCs w:val="36"/>
        </w:rPr>
        <w:br/>
      </w:r>
    </w:p>
    <w:p w14:paraId="5F3EA45F" w14:textId="68DAEF9F" w:rsidR="00094278" w:rsidRDefault="5E68F7DD">
      <w:pPr>
        <w:pStyle w:val="TOC1"/>
        <w:rPr>
          <w:rFonts w:asciiTheme="minorHAnsi" w:eastAsiaTheme="minorEastAsia" w:hAnsiTheme="minorHAnsi" w:cstheme="minorBidi"/>
          <w:kern w:val="2"/>
          <w14:ligatures w14:val="standardContextual"/>
        </w:rPr>
      </w:pPr>
      <w:r>
        <w:fldChar w:fldCharType="begin"/>
      </w:r>
      <w:r>
        <w:instrText>TOC \o "1-3" \z \u \h</w:instrText>
      </w:r>
      <w:r>
        <w:fldChar w:fldCharType="separate"/>
      </w:r>
      <w:hyperlink w:anchor="_Toc238729435" w:history="1">
        <w:r w:rsidR="00094278" w:rsidRPr="002A3F8D">
          <w:rPr>
            <w:rStyle w:val="Hyperlink"/>
          </w:rPr>
          <w:t>Planning Committee</w:t>
        </w:r>
        <w:r w:rsidR="00094278">
          <w:rPr>
            <w:webHidden/>
          </w:rPr>
          <w:tab/>
        </w:r>
        <w:r w:rsidR="00094278">
          <w:rPr>
            <w:webHidden/>
          </w:rPr>
          <w:fldChar w:fldCharType="begin"/>
        </w:r>
        <w:r w:rsidR="00094278">
          <w:rPr>
            <w:webHidden/>
          </w:rPr>
          <w:instrText xml:space="preserve"> PAGEREF _Toc238729435 \h </w:instrText>
        </w:r>
        <w:r w:rsidR="00094278">
          <w:rPr>
            <w:webHidden/>
          </w:rPr>
        </w:r>
        <w:r w:rsidR="00094278">
          <w:rPr>
            <w:webHidden/>
          </w:rPr>
          <w:fldChar w:fldCharType="separate"/>
        </w:r>
        <w:r w:rsidR="00094278">
          <w:rPr>
            <w:webHidden/>
          </w:rPr>
          <w:t>2</w:t>
        </w:r>
        <w:r w:rsidR="00094278">
          <w:rPr>
            <w:webHidden/>
          </w:rPr>
          <w:fldChar w:fldCharType="end"/>
        </w:r>
      </w:hyperlink>
    </w:p>
    <w:p w14:paraId="0134AFE6" w14:textId="330CC822" w:rsidR="00094278" w:rsidRDefault="00094278">
      <w:pPr>
        <w:pStyle w:val="TOC1"/>
        <w:rPr>
          <w:rFonts w:asciiTheme="minorHAnsi" w:eastAsiaTheme="minorEastAsia" w:hAnsiTheme="minorHAnsi" w:cstheme="minorBidi"/>
          <w:kern w:val="2"/>
          <w14:ligatures w14:val="standardContextual"/>
        </w:rPr>
      </w:pPr>
      <w:hyperlink w:anchor="_Toc238729436" w:history="1">
        <w:r w:rsidRPr="002A3F8D">
          <w:rPr>
            <w:rStyle w:val="Hyperlink"/>
          </w:rPr>
          <w:t>Sym</w:t>
        </w:r>
        <w:r w:rsidRPr="002A3F8D">
          <w:rPr>
            <w:rStyle w:val="Hyperlink"/>
          </w:rPr>
          <w:t>p</w:t>
        </w:r>
        <w:r w:rsidRPr="002A3F8D">
          <w:rPr>
            <w:rStyle w:val="Hyperlink"/>
          </w:rPr>
          <w:t>osium program</w:t>
        </w:r>
        <w:r>
          <w:rPr>
            <w:webHidden/>
          </w:rPr>
          <w:tab/>
        </w:r>
        <w:r>
          <w:rPr>
            <w:webHidden/>
          </w:rPr>
          <w:fldChar w:fldCharType="begin"/>
        </w:r>
        <w:r>
          <w:rPr>
            <w:webHidden/>
          </w:rPr>
          <w:instrText xml:space="preserve"> PAGEREF _Toc238729436 \h </w:instrText>
        </w:r>
        <w:r>
          <w:rPr>
            <w:webHidden/>
          </w:rPr>
        </w:r>
        <w:r>
          <w:rPr>
            <w:webHidden/>
          </w:rPr>
          <w:fldChar w:fldCharType="separate"/>
        </w:r>
        <w:r>
          <w:rPr>
            <w:webHidden/>
          </w:rPr>
          <w:t>3</w:t>
        </w:r>
        <w:r>
          <w:rPr>
            <w:webHidden/>
          </w:rPr>
          <w:fldChar w:fldCharType="end"/>
        </w:r>
      </w:hyperlink>
    </w:p>
    <w:p w14:paraId="5D4CC6CC" w14:textId="54507CD6" w:rsidR="00094278" w:rsidRDefault="00094278">
      <w:pPr>
        <w:pStyle w:val="TOC1"/>
        <w:rPr>
          <w:rFonts w:asciiTheme="minorHAnsi" w:eastAsiaTheme="minorEastAsia" w:hAnsiTheme="minorHAnsi" w:cstheme="minorBidi"/>
          <w:kern w:val="2"/>
          <w14:ligatures w14:val="standardContextual"/>
        </w:rPr>
      </w:pPr>
      <w:hyperlink w:anchor="_Toc238729437" w:history="1">
        <w:r w:rsidRPr="002A3F8D">
          <w:rPr>
            <w:rStyle w:val="Hyperlink"/>
          </w:rPr>
          <w:t>Oral presentations</w:t>
        </w:r>
        <w:r>
          <w:rPr>
            <w:webHidden/>
          </w:rPr>
          <w:tab/>
        </w:r>
        <w:r>
          <w:rPr>
            <w:webHidden/>
          </w:rPr>
          <w:fldChar w:fldCharType="begin"/>
        </w:r>
        <w:r>
          <w:rPr>
            <w:webHidden/>
          </w:rPr>
          <w:instrText xml:space="preserve"> PAGEREF _Toc238729437 \h </w:instrText>
        </w:r>
        <w:r>
          <w:rPr>
            <w:webHidden/>
          </w:rPr>
        </w:r>
        <w:r>
          <w:rPr>
            <w:webHidden/>
          </w:rPr>
          <w:fldChar w:fldCharType="separate"/>
        </w:r>
        <w:r>
          <w:rPr>
            <w:webHidden/>
          </w:rPr>
          <w:t>6</w:t>
        </w:r>
        <w:r>
          <w:rPr>
            <w:webHidden/>
          </w:rPr>
          <w:fldChar w:fldCharType="end"/>
        </w:r>
      </w:hyperlink>
    </w:p>
    <w:p w14:paraId="65735B72" w14:textId="4C1EB23E" w:rsidR="00094278" w:rsidRDefault="00094278">
      <w:pPr>
        <w:pStyle w:val="TOC2"/>
        <w:rPr>
          <w:rFonts w:eastAsiaTheme="minorEastAsia" w:cstheme="minorBidi"/>
          <w:i w:val="0"/>
          <w:iCs w:val="0"/>
          <w:color w:val="auto"/>
          <w:sz w:val="24"/>
          <w:szCs w:val="24"/>
        </w:rPr>
      </w:pPr>
      <w:hyperlink w:anchor="_Toc238729438" w:history="1">
        <w:r w:rsidRPr="002A3F8D">
          <w:rPr>
            <w:rStyle w:val="Hyperlink"/>
            <w:rFonts w:eastAsia="Times New Roman"/>
          </w:rPr>
          <w:t>OP-01: Ifeanyichukwu Eke, Stanford University</w:t>
        </w:r>
        <w:r>
          <w:rPr>
            <w:webHidden/>
          </w:rPr>
          <w:tab/>
        </w:r>
        <w:r>
          <w:rPr>
            <w:webHidden/>
          </w:rPr>
          <w:fldChar w:fldCharType="begin"/>
        </w:r>
        <w:r>
          <w:rPr>
            <w:webHidden/>
          </w:rPr>
          <w:instrText xml:space="preserve"> PAGEREF _Toc238729438 \h </w:instrText>
        </w:r>
        <w:r>
          <w:rPr>
            <w:webHidden/>
          </w:rPr>
        </w:r>
        <w:r>
          <w:rPr>
            <w:webHidden/>
          </w:rPr>
          <w:fldChar w:fldCharType="separate"/>
        </w:r>
        <w:r>
          <w:rPr>
            <w:webHidden/>
          </w:rPr>
          <w:t>6</w:t>
        </w:r>
        <w:r>
          <w:rPr>
            <w:webHidden/>
          </w:rPr>
          <w:fldChar w:fldCharType="end"/>
        </w:r>
      </w:hyperlink>
    </w:p>
    <w:p w14:paraId="158819D4" w14:textId="78D34281" w:rsidR="00094278" w:rsidRDefault="00094278">
      <w:pPr>
        <w:pStyle w:val="TOC2"/>
        <w:rPr>
          <w:rFonts w:eastAsiaTheme="minorEastAsia" w:cstheme="minorBidi"/>
          <w:i w:val="0"/>
          <w:iCs w:val="0"/>
          <w:color w:val="auto"/>
          <w:sz w:val="24"/>
          <w:szCs w:val="24"/>
        </w:rPr>
      </w:pPr>
      <w:hyperlink w:anchor="_Toc238729439" w:history="1">
        <w:r w:rsidRPr="002A3F8D">
          <w:rPr>
            <w:rStyle w:val="Hyperlink"/>
            <w:rFonts w:eastAsia="Times New Roman"/>
          </w:rPr>
          <w:t>OP-02: Isabel Lamb-Echegaray, UC Berkeley</w:t>
        </w:r>
        <w:r>
          <w:rPr>
            <w:webHidden/>
          </w:rPr>
          <w:tab/>
        </w:r>
        <w:r>
          <w:rPr>
            <w:webHidden/>
          </w:rPr>
          <w:fldChar w:fldCharType="begin"/>
        </w:r>
        <w:r>
          <w:rPr>
            <w:webHidden/>
          </w:rPr>
          <w:instrText xml:space="preserve"> PAGEREF _Toc238729439 \h </w:instrText>
        </w:r>
        <w:r>
          <w:rPr>
            <w:webHidden/>
          </w:rPr>
        </w:r>
        <w:r>
          <w:rPr>
            <w:webHidden/>
          </w:rPr>
          <w:fldChar w:fldCharType="separate"/>
        </w:r>
        <w:r>
          <w:rPr>
            <w:webHidden/>
          </w:rPr>
          <w:t>7</w:t>
        </w:r>
        <w:r>
          <w:rPr>
            <w:webHidden/>
          </w:rPr>
          <w:fldChar w:fldCharType="end"/>
        </w:r>
      </w:hyperlink>
    </w:p>
    <w:p w14:paraId="2153A5B2" w14:textId="53A3AC57" w:rsidR="00094278" w:rsidRDefault="00094278">
      <w:pPr>
        <w:pStyle w:val="TOC2"/>
        <w:rPr>
          <w:rFonts w:eastAsiaTheme="minorEastAsia" w:cstheme="minorBidi"/>
          <w:i w:val="0"/>
          <w:iCs w:val="0"/>
          <w:color w:val="auto"/>
          <w:sz w:val="24"/>
          <w:szCs w:val="24"/>
        </w:rPr>
      </w:pPr>
      <w:hyperlink w:anchor="_Toc238729440" w:history="1">
        <w:r w:rsidRPr="002A3F8D">
          <w:rPr>
            <w:rStyle w:val="Hyperlink"/>
            <w:rFonts w:eastAsia="Times New Roman"/>
          </w:rPr>
          <w:t>OP-03: Christopher Rae, UC Berkeley</w:t>
        </w:r>
        <w:r>
          <w:rPr>
            <w:webHidden/>
          </w:rPr>
          <w:tab/>
        </w:r>
        <w:r>
          <w:rPr>
            <w:webHidden/>
          </w:rPr>
          <w:fldChar w:fldCharType="begin"/>
        </w:r>
        <w:r>
          <w:rPr>
            <w:webHidden/>
          </w:rPr>
          <w:instrText xml:space="preserve"> PAGEREF _Toc238729440 \h </w:instrText>
        </w:r>
        <w:r>
          <w:rPr>
            <w:webHidden/>
          </w:rPr>
        </w:r>
        <w:r>
          <w:rPr>
            <w:webHidden/>
          </w:rPr>
          <w:fldChar w:fldCharType="separate"/>
        </w:r>
        <w:r>
          <w:rPr>
            <w:webHidden/>
          </w:rPr>
          <w:t>8</w:t>
        </w:r>
        <w:r>
          <w:rPr>
            <w:webHidden/>
          </w:rPr>
          <w:fldChar w:fldCharType="end"/>
        </w:r>
      </w:hyperlink>
    </w:p>
    <w:p w14:paraId="210862AD" w14:textId="20620DD7" w:rsidR="00094278" w:rsidRDefault="00094278">
      <w:pPr>
        <w:pStyle w:val="TOC1"/>
        <w:rPr>
          <w:rFonts w:asciiTheme="minorHAnsi" w:eastAsiaTheme="minorEastAsia" w:hAnsiTheme="minorHAnsi" w:cstheme="minorBidi"/>
          <w:kern w:val="2"/>
          <w14:ligatures w14:val="standardContextual"/>
        </w:rPr>
      </w:pPr>
      <w:hyperlink w:anchor="_Toc238729441" w:history="1">
        <w:r w:rsidRPr="002A3F8D">
          <w:rPr>
            <w:rStyle w:val="Hyperlink"/>
          </w:rPr>
          <w:t>Poster presentations</w:t>
        </w:r>
        <w:r>
          <w:rPr>
            <w:webHidden/>
          </w:rPr>
          <w:tab/>
        </w:r>
        <w:r>
          <w:rPr>
            <w:webHidden/>
          </w:rPr>
          <w:fldChar w:fldCharType="begin"/>
        </w:r>
        <w:r>
          <w:rPr>
            <w:webHidden/>
          </w:rPr>
          <w:instrText xml:space="preserve"> PAGEREF _Toc238729441 \h </w:instrText>
        </w:r>
        <w:r>
          <w:rPr>
            <w:webHidden/>
          </w:rPr>
        </w:r>
        <w:r>
          <w:rPr>
            <w:webHidden/>
          </w:rPr>
          <w:fldChar w:fldCharType="separate"/>
        </w:r>
        <w:r>
          <w:rPr>
            <w:webHidden/>
          </w:rPr>
          <w:t>9</w:t>
        </w:r>
        <w:r>
          <w:rPr>
            <w:webHidden/>
          </w:rPr>
          <w:fldChar w:fldCharType="end"/>
        </w:r>
      </w:hyperlink>
    </w:p>
    <w:p w14:paraId="59BE457D" w14:textId="298412F3" w:rsidR="00094278" w:rsidRDefault="00094278">
      <w:pPr>
        <w:pStyle w:val="TOC2"/>
        <w:rPr>
          <w:rFonts w:eastAsiaTheme="minorEastAsia" w:cstheme="minorBidi"/>
          <w:i w:val="0"/>
          <w:iCs w:val="0"/>
          <w:color w:val="auto"/>
          <w:sz w:val="24"/>
          <w:szCs w:val="24"/>
        </w:rPr>
      </w:pPr>
      <w:hyperlink w:anchor="_Toc238729442" w:history="1">
        <w:r w:rsidRPr="002A3F8D">
          <w:rPr>
            <w:rStyle w:val="Hyperlink"/>
            <w:rFonts w:eastAsia="Times New Roman"/>
          </w:rPr>
          <w:t>PP-01: Rachel Abbott, UCSF</w:t>
        </w:r>
        <w:r>
          <w:rPr>
            <w:webHidden/>
          </w:rPr>
          <w:tab/>
        </w:r>
        <w:r>
          <w:rPr>
            <w:webHidden/>
          </w:rPr>
          <w:fldChar w:fldCharType="begin"/>
        </w:r>
        <w:r>
          <w:rPr>
            <w:webHidden/>
          </w:rPr>
          <w:instrText xml:space="preserve"> PAGEREF _Toc238729442 \h </w:instrText>
        </w:r>
        <w:r>
          <w:rPr>
            <w:webHidden/>
          </w:rPr>
        </w:r>
        <w:r>
          <w:rPr>
            <w:webHidden/>
          </w:rPr>
          <w:fldChar w:fldCharType="separate"/>
        </w:r>
        <w:r>
          <w:rPr>
            <w:webHidden/>
          </w:rPr>
          <w:t>9</w:t>
        </w:r>
        <w:r>
          <w:rPr>
            <w:webHidden/>
          </w:rPr>
          <w:fldChar w:fldCharType="end"/>
        </w:r>
      </w:hyperlink>
    </w:p>
    <w:p w14:paraId="737CA08D" w14:textId="50005520" w:rsidR="00094278" w:rsidRDefault="00094278">
      <w:pPr>
        <w:pStyle w:val="TOC2"/>
        <w:rPr>
          <w:rFonts w:eastAsiaTheme="minorEastAsia" w:cstheme="minorBidi"/>
          <w:i w:val="0"/>
          <w:iCs w:val="0"/>
          <w:color w:val="auto"/>
          <w:sz w:val="24"/>
          <w:szCs w:val="24"/>
        </w:rPr>
      </w:pPr>
      <w:hyperlink w:anchor="_Toc238729443" w:history="1">
        <w:r w:rsidRPr="002A3F8D">
          <w:rPr>
            <w:rStyle w:val="Hyperlink"/>
            <w:rFonts w:eastAsia="Times New Roman"/>
          </w:rPr>
          <w:t>PP-02: Rishika Baral, UC Berkeley</w:t>
        </w:r>
        <w:r>
          <w:rPr>
            <w:webHidden/>
          </w:rPr>
          <w:tab/>
        </w:r>
        <w:r>
          <w:rPr>
            <w:webHidden/>
          </w:rPr>
          <w:fldChar w:fldCharType="begin"/>
        </w:r>
        <w:r>
          <w:rPr>
            <w:webHidden/>
          </w:rPr>
          <w:instrText xml:space="preserve"> PAGEREF _Toc238729443 \h </w:instrText>
        </w:r>
        <w:r>
          <w:rPr>
            <w:webHidden/>
          </w:rPr>
        </w:r>
        <w:r>
          <w:rPr>
            <w:webHidden/>
          </w:rPr>
          <w:fldChar w:fldCharType="separate"/>
        </w:r>
        <w:r>
          <w:rPr>
            <w:webHidden/>
          </w:rPr>
          <w:t>10</w:t>
        </w:r>
        <w:r>
          <w:rPr>
            <w:webHidden/>
          </w:rPr>
          <w:fldChar w:fldCharType="end"/>
        </w:r>
      </w:hyperlink>
    </w:p>
    <w:p w14:paraId="0F2840C1" w14:textId="0CD4E932" w:rsidR="00094278" w:rsidRDefault="00094278">
      <w:pPr>
        <w:pStyle w:val="TOC2"/>
        <w:rPr>
          <w:rFonts w:eastAsiaTheme="minorEastAsia" w:cstheme="minorBidi"/>
          <w:i w:val="0"/>
          <w:iCs w:val="0"/>
          <w:color w:val="auto"/>
          <w:sz w:val="24"/>
          <w:szCs w:val="24"/>
        </w:rPr>
      </w:pPr>
      <w:hyperlink w:anchor="_Toc238729444" w:history="1">
        <w:r w:rsidRPr="002A3F8D">
          <w:rPr>
            <w:rStyle w:val="Hyperlink"/>
            <w:rFonts w:eastAsia="Times New Roman"/>
          </w:rPr>
          <w:t>PP-03: Jonathan Budzik, UCSF</w:t>
        </w:r>
        <w:r>
          <w:rPr>
            <w:webHidden/>
          </w:rPr>
          <w:tab/>
        </w:r>
        <w:r>
          <w:rPr>
            <w:webHidden/>
          </w:rPr>
          <w:fldChar w:fldCharType="begin"/>
        </w:r>
        <w:r>
          <w:rPr>
            <w:webHidden/>
          </w:rPr>
          <w:instrText xml:space="preserve"> PAGEREF _Toc238729444 \h </w:instrText>
        </w:r>
        <w:r>
          <w:rPr>
            <w:webHidden/>
          </w:rPr>
        </w:r>
        <w:r>
          <w:rPr>
            <w:webHidden/>
          </w:rPr>
          <w:fldChar w:fldCharType="separate"/>
        </w:r>
        <w:r>
          <w:rPr>
            <w:webHidden/>
          </w:rPr>
          <w:t>11</w:t>
        </w:r>
        <w:r>
          <w:rPr>
            <w:webHidden/>
          </w:rPr>
          <w:fldChar w:fldCharType="end"/>
        </w:r>
      </w:hyperlink>
    </w:p>
    <w:p w14:paraId="1648E570" w14:textId="0919B877" w:rsidR="00094278" w:rsidRDefault="00094278">
      <w:pPr>
        <w:pStyle w:val="TOC2"/>
        <w:rPr>
          <w:rFonts w:eastAsiaTheme="minorEastAsia" w:cstheme="minorBidi"/>
          <w:i w:val="0"/>
          <w:iCs w:val="0"/>
          <w:color w:val="auto"/>
          <w:sz w:val="24"/>
          <w:szCs w:val="24"/>
        </w:rPr>
      </w:pPr>
      <w:hyperlink w:anchor="_Toc238729445" w:history="1">
        <w:r w:rsidRPr="002A3F8D">
          <w:rPr>
            <w:rStyle w:val="Hyperlink"/>
            <w:rFonts w:eastAsia="Times New Roman"/>
          </w:rPr>
          <w:t>PP-04: Robert Castro, University of California San Francisco</w:t>
        </w:r>
        <w:r>
          <w:rPr>
            <w:webHidden/>
          </w:rPr>
          <w:tab/>
        </w:r>
        <w:r>
          <w:rPr>
            <w:webHidden/>
          </w:rPr>
          <w:fldChar w:fldCharType="begin"/>
        </w:r>
        <w:r>
          <w:rPr>
            <w:webHidden/>
          </w:rPr>
          <w:instrText xml:space="preserve"> PAGEREF _Toc238729445 \h </w:instrText>
        </w:r>
        <w:r>
          <w:rPr>
            <w:webHidden/>
          </w:rPr>
        </w:r>
        <w:r>
          <w:rPr>
            <w:webHidden/>
          </w:rPr>
          <w:fldChar w:fldCharType="separate"/>
        </w:r>
        <w:r>
          <w:rPr>
            <w:webHidden/>
          </w:rPr>
          <w:t>12</w:t>
        </w:r>
        <w:r>
          <w:rPr>
            <w:webHidden/>
          </w:rPr>
          <w:fldChar w:fldCharType="end"/>
        </w:r>
      </w:hyperlink>
    </w:p>
    <w:p w14:paraId="0596AB72" w14:textId="65342B8C" w:rsidR="00094278" w:rsidRDefault="00094278">
      <w:pPr>
        <w:pStyle w:val="TOC2"/>
        <w:rPr>
          <w:rFonts w:eastAsiaTheme="minorEastAsia" w:cstheme="minorBidi"/>
          <w:i w:val="0"/>
          <w:iCs w:val="0"/>
          <w:color w:val="auto"/>
          <w:sz w:val="24"/>
          <w:szCs w:val="24"/>
        </w:rPr>
      </w:pPr>
      <w:hyperlink w:anchor="_Toc238729446" w:history="1">
        <w:r w:rsidRPr="002A3F8D">
          <w:rPr>
            <w:rStyle w:val="Hyperlink"/>
            <w:rFonts w:eastAsia="Times New Roman"/>
          </w:rPr>
          <w:t>PP-05: Mariko Costantini, UCSF</w:t>
        </w:r>
        <w:r>
          <w:rPr>
            <w:webHidden/>
          </w:rPr>
          <w:tab/>
        </w:r>
        <w:r>
          <w:rPr>
            <w:webHidden/>
          </w:rPr>
          <w:fldChar w:fldCharType="begin"/>
        </w:r>
        <w:r>
          <w:rPr>
            <w:webHidden/>
          </w:rPr>
          <w:instrText xml:space="preserve"> PAGEREF _Toc238729446 \h </w:instrText>
        </w:r>
        <w:r>
          <w:rPr>
            <w:webHidden/>
          </w:rPr>
        </w:r>
        <w:r>
          <w:rPr>
            <w:webHidden/>
          </w:rPr>
          <w:fldChar w:fldCharType="separate"/>
        </w:r>
        <w:r>
          <w:rPr>
            <w:webHidden/>
          </w:rPr>
          <w:t>13</w:t>
        </w:r>
        <w:r>
          <w:rPr>
            <w:webHidden/>
          </w:rPr>
          <w:fldChar w:fldCharType="end"/>
        </w:r>
      </w:hyperlink>
    </w:p>
    <w:p w14:paraId="003BD8E9" w14:textId="0E923E2E" w:rsidR="00094278" w:rsidRDefault="00094278">
      <w:pPr>
        <w:pStyle w:val="TOC2"/>
        <w:rPr>
          <w:rFonts w:eastAsiaTheme="minorEastAsia" w:cstheme="minorBidi"/>
          <w:i w:val="0"/>
          <w:iCs w:val="0"/>
          <w:color w:val="auto"/>
          <w:sz w:val="24"/>
          <w:szCs w:val="24"/>
        </w:rPr>
      </w:pPr>
      <w:hyperlink w:anchor="_Toc238729447" w:history="1">
        <w:r w:rsidRPr="002A3F8D">
          <w:rPr>
            <w:rStyle w:val="Hyperlink"/>
            <w:rFonts w:eastAsia="Times New Roman"/>
          </w:rPr>
          <w:t>PP-06: Fatoumatta Darboe, UCSF</w:t>
        </w:r>
        <w:r>
          <w:rPr>
            <w:webHidden/>
          </w:rPr>
          <w:tab/>
        </w:r>
        <w:r>
          <w:rPr>
            <w:webHidden/>
          </w:rPr>
          <w:fldChar w:fldCharType="begin"/>
        </w:r>
        <w:r>
          <w:rPr>
            <w:webHidden/>
          </w:rPr>
          <w:instrText xml:space="preserve"> PAGEREF _Toc238729447 \h </w:instrText>
        </w:r>
        <w:r>
          <w:rPr>
            <w:webHidden/>
          </w:rPr>
        </w:r>
        <w:r>
          <w:rPr>
            <w:webHidden/>
          </w:rPr>
          <w:fldChar w:fldCharType="separate"/>
        </w:r>
        <w:r>
          <w:rPr>
            <w:webHidden/>
          </w:rPr>
          <w:t>14</w:t>
        </w:r>
        <w:r>
          <w:rPr>
            <w:webHidden/>
          </w:rPr>
          <w:fldChar w:fldCharType="end"/>
        </w:r>
      </w:hyperlink>
    </w:p>
    <w:p w14:paraId="12FD015E" w14:textId="055D9D79" w:rsidR="00094278" w:rsidRDefault="00094278">
      <w:pPr>
        <w:pStyle w:val="TOC2"/>
        <w:rPr>
          <w:rFonts w:eastAsiaTheme="minorEastAsia" w:cstheme="minorBidi"/>
          <w:i w:val="0"/>
          <w:iCs w:val="0"/>
          <w:color w:val="auto"/>
          <w:sz w:val="24"/>
          <w:szCs w:val="24"/>
        </w:rPr>
      </w:pPr>
      <w:hyperlink w:anchor="_Toc238729448" w:history="1">
        <w:r w:rsidRPr="002A3F8D">
          <w:rPr>
            <w:rStyle w:val="Hyperlink"/>
            <w:rFonts w:eastAsia="Times New Roman"/>
          </w:rPr>
          <w:t>PP-07: Linda Del Cid, UC Berkeley</w:t>
        </w:r>
        <w:r>
          <w:rPr>
            <w:webHidden/>
          </w:rPr>
          <w:tab/>
        </w:r>
        <w:r>
          <w:rPr>
            <w:webHidden/>
          </w:rPr>
          <w:fldChar w:fldCharType="begin"/>
        </w:r>
        <w:r>
          <w:rPr>
            <w:webHidden/>
          </w:rPr>
          <w:instrText xml:space="preserve"> PAGEREF _Toc238729448 \h </w:instrText>
        </w:r>
        <w:r>
          <w:rPr>
            <w:webHidden/>
          </w:rPr>
        </w:r>
        <w:r>
          <w:rPr>
            <w:webHidden/>
          </w:rPr>
          <w:fldChar w:fldCharType="separate"/>
        </w:r>
        <w:r>
          <w:rPr>
            <w:webHidden/>
          </w:rPr>
          <w:t>16</w:t>
        </w:r>
        <w:r>
          <w:rPr>
            <w:webHidden/>
          </w:rPr>
          <w:fldChar w:fldCharType="end"/>
        </w:r>
      </w:hyperlink>
    </w:p>
    <w:p w14:paraId="0F2A38C3" w14:textId="012F84CA" w:rsidR="00094278" w:rsidRDefault="00094278">
      <w:pPr>
        <w:pStyle w:val="TOC2"/>
        <w:rPr>
          <w:rFonts w:eastAsiaTheme="minorEastAsia" w:cstheme="minorBidi"/>
          <w:i w:val="0"/>
          <w:iCs w:val="0"/>
          <w:color w:val="auto"/>
          <w:sz w:val="24"/>
          <w:szCs w:val="24"/>
        </w:rPr>
      </w:pPr>
      <w:hyperlink w:anchor="_Toc238729449" w:history="1">
        <w:r w:rsidRPr="002A3F8D">
          <w:rPr>
            <w:rStyle w:val="Hyperlink"/>
            <w:rFonts w:eastAsia="Times New Roman"/>
          </w:rPr>
          <w:t>PP-08: Rama Drwich, UC Davis</w:t>
        </w:r>
        <w:r>
          <w:rPr>
            <w:webHidden/>
          </w:rPr>
          <w:tab/>
        </w:r>
        <w:r>
          <w:rPr>
            <w:webHidden/>
          </w:rPr>
          <w:fldChar w:fldCharType="begin"/>
        </w:r>
        <w:r>
          <w:rPr>
            <w:webHidden/>
          </w:rPr>
          <w:instrText xml:space="preserve"> PAGEREF _Toc238729449 \h </w:instrText>
        </w:r>
        <w:r>
          <w:rPr>
            <w:webHidden/>
          </w:rPr>
        </w:r>
        <w:r>
          <w:rPr>
            <w:webHidden/>
          </w:rPr>
          <w:fldChar w:fldCharType="separate"/>
        </w:r>
        <w:r>
          <w:rPr>
            <w:webHidden/>
          </w:rPr>
          <w:t>17</w:t>
        </w:r>
        <w:r>
          <w:rPr>
            <w:webHidden/>
          </w:rPr>
          <w:fldChar w:fldCharType="end"/>
        </w:r>
      </w:hyperlink>
    </w:p>
    <w:p w14:paraId="61D048DE" w14:textId="5B7EAD06" w:rsidR="00094278" w:rsidRDefault="00094278">
      <w:pPr>
        <w:pStyle w:val="TOC2"/>
        <w:rPr>
          <w:rFonts w:eastAsiaTheme="minorEastAsia" w:cstheme="minorBidi"/>
          <w:i w:val="0"/>
          <w:iCs w:val="0"/>
          <w:color w:val="auto"/>
          <w:sz w:val="24"/>
          <w:szCs w:val="24"/>
        </w:rPr>
      </w:pPr>
      <w:hyperlink w:anchor="_Toc238729450" w:history="1">
        <w:r w:rsidRPr="002A3F8D">
          <w:rPr>
            <w:rStyle w:val="Hyperlink"/>
            <w:rFonts w:eastAsia="Times New Roman"/>
          </w:rPr>
          <w:t>PP-09: Mark Fajans, University of California San Francisco</w:t>
        </w:r>
        <w:r>
          <w:rPr>
            <w:webHidden/>
          </w:rPr>
          <w:tab/>
        </w:r>
        <w:r>
          <w:rPr>
            <w:webHidden/>
          </w:rPr>
          <w:fldChar w:fldCharType="begin"/>
        </w:r>
        <w:r>
          <w:rPr>
            <w:webHidden/>
          </w:rPr>
          <w:instrText xml:space="preserve"> PAGEREF _Toc238729450 \h </w:instrText>
        </w:r>
        <w:r>
          <w:rPr>
            <w:webHidden/>
          </w:rPr>
        </w:r>
        <w:r>
          <w:rPr>
            <w:webHidden/>
          </w:rPr>
          <w:fldChar w:fldCharType="separate"/>
        </w:r>
        <w:r>
          <w:rPr>
            <w:webHidden/>
          </w:rPr>
          <w:t>18</w:t>
        </w:r>
        <w:r>
          <w:rPr>
            <w:webHidden/>
          </w:rPr>
          <w:fldChar w:fldCharType="end"/>
        </w:r>
      </w:hyperlink>
    </w:p>
    <w:p w14:paraId="0E88493F" w14:textId="68077E9B" w:rsidR="00094278" w:rsidRDefault="00094278">
      <w:pPr>
        <w:pStyle w:val="TOC2"/>
        <w:rPr>
          <w:rFonts w:eastAsiaTheme="minorEastAsia" w:cstheme="minorBidi"/>
          <w:i w:val="0"/>
          <w:iCs w:val="0"/>
          <w:color w:val="auto"/>
          <w:sz w:val="24"/>
          <w:szCs w:val="24"/>
        </w:rPr>
      </w:pPr>
      <w:hyperlink w:anchor="_Toc238729451" w:history="1">
        <w:r w:rsidRPr="002A3F8D">
          <w:rPr>
            <w:rStyle w:val="Hyperlink"/>
            <w:rFonts w:eastAsia="Times New Roman"/>
          </w:rPr>
          <w:t>PP-10: Caldwell Feid, UCSF</w:t>
        </w:r>
        <w:r>
          <w:rPr>
            <w:webHidden/>
          </w:rPr>
          <w:tab/>
        </w:r>
        <w:r>
          <w:rPr>
            <w:webHidden/>
          </w:rPr>
          <w:fldChar w:fldCharType="begin"/>
        </w:r>
        <w:r>
          <w:rPr>
            <w:webHidden/>
          </w:rPr>
          <w:instrText xml:space="preserve"> PAGEREF _Toc238729451 \h </w:instrText>
        </w:r>
        <w:r>
          <w:rPr>
            <w:webHidden/>
          </w:rPr>
        </w:r>
        <w:r>
          <w:rPr>
            <w:webHidden/>
          </w:rPr>
          <w:fldChar w:fldCharType="separate"/>
        </w:r>
        <w:r>
          <w:rPr>
            <w:webHidden/>
          </w:rPr>
          <w:t>20</w:t>
        </w:r>
        <w:r>
          <w:rPr>
            <w:webHidden/>
          </w:rPr>
          <w:fldChar w:fldCharType="end"/>
        </w:r>
      </w:hyperlink>
    </w:p>
    <w:p w14:paraId="1D6E9E5A" w14:textId="0E9CC0F9" w:rsidR="00094278" w:rsidRDefault="00094278">
      <w:pPr>
        <w:pStyle w:val="TOC2"/>
        <w:rPr>
          <w:rFonts w:eastAsiaTheme="minorEastAsia" w:cstheme="minorBidi"/>
          <w:i w:val="0"/>
          <w:iCs w:val="0"/>
          <w:color w:val="auto"/>
          <w:sz w:val="24"/>
          <w:szCs w:val="24"/>
        </w:rPr>
      </w:pPr>
      <w:hyperlink w:anchor="_Toc238729452" w:history="1">
        <w:r w:rsidRPr="002A3F8D">
          <w:rPr>
            <w:rStyle w:val="Hyperlink"/>
            <w:rFonts w:eastAsia="Times New Roman"/>
          </w:rPr>
          <w:t>PP-11: Fei Gao, Stanford University</w:t>
        </w:r>
        <w:r>
          <w:rPr>
            <w:webHidden/>
          </w:rPr>
          <w:tab/>
        </w:r>
        <w:r>
          <w:rPr>
            <w:webHidden/>
          </w:rPr>
          <w:fldChar w:fldCharType="begin"/>
        </w:r>
        <w:r>
          <w:rPr>
            <w:webHidden/>
          </w:rPr>
          <w:instrText xml:space="preserve"> PAGEREF _Toc238729452 \h </w:instrText>
        </w:r>
        <w:r>
          <w:rPr>
            <w:webHidden/>
          </w:rPr>
        </w:r>
        <w:r>
          <w:rPr>
            <w:webHidden/>
          </w:rPr>
          <w:fldChar w:fldCharType="separate"/>
        </w:r>
        <w:r>
          <w:rPr>
            <w:webHidden/>
          </w:rPr>
          <w:t>21</w:t>
        </w:r>
        <w:r>
          <w:rPr>
            <w:webHidden/>
          </w:rPr>
          <w:fldChar w:fldCharType="end"/>
        </w:r>
      </w:hyperlink>
    </w:p>
    <w:p w14:paraId="37BD9978" w14:textId="5DC877AB" w:rsidR="00094278" w:rsidRDefault="00094278">
      <w:pPr>
        <w:pStyle w:val="TOC2"/>
        <w:rPr>
          <w:rFonts w:eastAsiaTheme="minorEastAsia" w:cstheme="minorBidi"/>
          <w:i w:val="0"/>
          <w:iCs w:val="0"/>
          <w:color w:val="auto"/>
          <w:sz w:val="24"/>
          <w:szCs w:val="24"/>
        </w:rPr>
      </w:pPr>
      <w:hyperlink w:anchor="_Toc238729453" w:history="1">
        <w:r w:rsidRPr="002A3F8D">
          <w:rPr>
            <w:rStyle w:val="Hyperlink"/>
            <w:rFonts w:eastAsia="Times New Roman"/>
          </w:rPr>
          <w:t>PP-12: Quinn Gavin, University of California, Irvine</w:t>
        </w:r>
        <w:r>
          <w:rPr>
            <w:webHidden/>
          </w:rPr>
          <w:tab/>
        </w:r>
        <w:r>
          <w:rPr>
            <w:webHidden/>
          </w:rPr>
          <w:fldChar w:fldCharType="begin"/>
        </w:r>
        <w:r>
          <w:rPr>
            <w:webHidden/>
          </w:rPr>
          <w:instrText xml:space="preserve"> PAGEREF _Toc238729453 \h </w:instrText>
        </w:r>
        <w:r>
          <w:rPr>
            <w:webHidden/>
          </w:rPr>
        </w:r>
        <w:r>
          <w:rPr>
            <w:webHidden/>
          </w:rPr>
          <w:fldChar w:fldCharType="separate"/>
        </w:r>
        <w:r>
          <w:rPr>
            <w:webHidden/>
          </w:rPr>
          <w:t>22</w:t>
        </w:r>
        <w:r>
          <w:rPr>
            <w:webHidden/>
          </w:rPr>
          <w:fldChar w:fldCharType="end"/>
        </w:r>
      </w:hyperlink>
    </w:p>
    <w:p w14:paraId="7FB561F6" w14:textId="1A1CEAA3" w:rsidR="00094278" w:rsidRDefault="00094278">
      <w:pPr>
        <w:pStyle w:val="TOC2"/>
        <w:rPr>
          <w:rFonts w:eastAsiaTheme="minorEastAsia" w:cstheme="minorBidi"/>
          <w:i w:val="0"/>
          <w:iCs w:val="0"/>
          <w:color w:val="auto"/>
          <w:sz w:val="24"/>
          <w:szCs w:val="24"/>
        </w:rPr>
      </w:pPr>
      <w:hyperlink w:anchor="_Toc238729454" w:history="1">
        <w:r w:rsidRPr="002A3F8D">
          <w:rPr>
            <w:rStyle w:val="Hyperlink"/>
            <w:rFonts w:eastAsia="Times New Roman"/>
          </w:rPr>
          <w:t>PP-13: Mollie Hudson, University of California San Francisco</w:t>
        </w:r>
        <w:r>
          <w:rPr>
            <w:webHidden/>
          </w:rPr>
          <w:tab/>
        </w:r>
        <w:r>
          <w:rPr>
            <w:webHidden/>
          </w:rPr>
          <w:fldChar w:fldCharType="begin"/>
        </w:r>
        <w:r>
          <w:rPr>
            <w:webHidden/>
          </w:rPr>
          <w:instrText xml:space="preserve"> PAGEREF _Toc238729454 \h </w:instrText>
        </w:r>
        <w:r>
          <w:rPr>
            <w:webHidden/>
          </w:rPr>
        </w:r>
        <w:r>
          <w:rPr>
            <w:webHidden/>
          </w:rPr>
          <w:fldChar w:fldCharType="separate"/>
        </w:r>
        <w:r>
          <w:rPr>
            <w:webHidden/>
          </w:rPr>
          <w:t>23</w:t>
        </w:r>
        <w:r>
          <w:rPr>
            <w:webHidden/>
          </w:rPr>
          <w:fldChar w:fldCharType="end"/>
        </w:r>
      </w:hyperlink>
    </w:p>
    <w:p w14:paraId="6C7C249C" w14:textId="69E53174" w:rsidR="00094278" w:rsidRDefault="00094278">
      <w:pPr>
        <w:pStyle w:val="TOC2"/>
        <w:rPr>
          <w:rFonts w:eastAsiaTheme="minorEastAsia" w:cstheme="minorBidi"/>
          <w:i w:val="0"/>
          <w:iCs w:val="0"/>
          <w:color w:val="auto"/>
          <w:sz w:val="24"/>
          <w:szCs w:val="24"/>
        </w:rPr>
      </w:pPr>
      <w:hyperlink w:anchor="_Toc238729455" w:history="1">
        <w:r w:rsidRPr="002A3F8D">
          <w:rPr>
            <w:rStyle w:val="Hyperlink"/>
            <w:rFonts w:eastAsia="Times New Roman"/>
          </w:rPr>
          <w:t>PP-14: Taranom Javid, UC Berkeley</w:t>
        </w:r>
        <w:r>
          <w:rPr>
            <w:webHidden/>
          </w:rPr>
          <w:tab/>
        </w:r>
        <w:r>
          <w:rPr>
            <w:webHidden/>
          </w:rPr>
          <w:fldChar w:fldCharType="begin"/>
        </w:r>
        <w:r>
          <w:rPr>
            <w:webHidden/>
          </w:rPr>
          <w:instrText xml:space="preserve"> PAGEREF _Toc238729455 \h </w:instrText>
        </w:r>
        <w:r>
          <w:rPr>
            <w:webHidden/>
          </w:rPr>
        </w:r>
        <w:r>
          <w:rPr>
            <w:webHidden/>
          </w:rPr>
          <w:fldChar w:fldCharType="separate"/>
        </w:r>
        <w:r>
          <w:rPr>
            <w:webHidden/>
          </w:rPr>
          <w:t>24</w:t>
        </w:r>
        <w:r>
          <w:rPr>
            <w:webHidden/>
          </w:rPr>
          <w:fldChar w:fldCharType="end"/>
        </w:r>
      </w:hyperlink>
    </w:p>
    <w:p w14:paraId="71955374" w14:textId="5E4671DE" w:rsidR="00094278" w:rsidRDefault="00094278">
      <w:pPr>
        <w:pStyle w:val="TOC2"/>
        <w:rPr>
          <w:rFonts w:eastAsiaTheme="minorEastAsia" w:cstheme="minorBidi"/>
          <w:i w:val="0"/>
          <w:iCs w:val="0"/>
          <w:color w:val="auto"/>
          <w:sz w:val="24"/>
          <w:szCs w:val="24"/>
        </w:rPr>
      </w:pPr>
      <w:hyperlink w:anchor="_Toc238729456" w:history="1">
        <w:r w:rsidRPr="002A3F8D">
          <w:rPr>
            <w:rStyle w:val="Hyperlink"/>
            <w:rFonts w:eastAsia="Times New Roman"/>
          </w:rPr>
          <w:t>PP-15: Jillian Kadota, UCSF</w:t>
        </w:r>
        <w:r>
          <w:rPr>
            <w:webHidden/>
          </w:rPr>
          <w:tab/>
        </w:r>
        <w:r>
          <w:rPr>
            <w:webHidden/>
          </w:rPr>
          <w:fldChar w:fldCharType="begin"/>
        </w:r>
        <w:r>
          <w:rPr>
            <w:webHidden/>
          </w:rPr>
          <w:instrText xml:space="preserve"> PAGEREF _Toc238729456 \h </w:instrText>
        </w:r>
        <w:r>
          <w:rPr>
            <w:webHidden/>
          </w:rPr>
        </w:r>
        <w:r>
          <w:rPr>
            <w:webHidden/>
          </w:rPr>
          <w:fldChar w:fldCharType="separate"/>
        </w:r>
        <w:r>
          <w:rPr>
            <w:webHidden/>
          </w:rPr>
          <w:t>25</w:t>
        </w:r>
        <w:r>
          <w:rPr>
            <w:webHidden/>
          </w:rPr>
          <w:fldChar w:fldCharType="end"/>
        </w:r>
      </w:hyperlink>
    </w:p>
    <w:p w14:paraId="08AF80CE" w14:textId="2A971A7F" w:rsidR="00094278" w:rsidRDefault="00094278">
      <w:pPr>
        <w:pStyle w:val="TOC2"/>
        <w:rPr>
          <w:rFonts w:eastAsiaTheme="minorEastAsia" w:cstheme="minorBidi"/>
          <w:i w:val="0"/>
          <w:iCs w:val="0"/>
          <w:color w:val="auto"/>
          <w:sz w:val="24"/>
          <w:szCs w:val="24"/>
        </w:rPr>
      </w:pPr>
      <w:hyperlink w:anchor="_Toc238729457" w:history="1">
        <w:r w:rsidRPr="002A3F8D">
          <w:rPr>
            <w:rStyle w:val="Hyperlink"/>
            <w:rFonts w:eastAsia="Times New Roman"/>
          </w:rPr>
          <w:t>PP-16: Caitlin Moe, UCSF &amp; UCI</w:t>
        </w:r>
        <w:r>
          <w:rPr>
            <w:webHidden/>
          </w:rPr>
          <w:tab/>
        </w:r>
        <w:r>
          <w:rPr>
            <w:webHidden/>
          </w:rPr>
          <w:fldChar w:fldCharType="begin"/>
        </w:r>
        <w:r>
          <w:rPr>
            <w:webHidden/>
          </w:rPr>
          <w:instrText xml:space="preserve"> PAGEREF _Toc238729457 \h </w:instrText>
        </w:r>
        <w:r>
          <w:rPr>
            <w:webHidden/>
          </w:rPr>
        </w:r>
        <w:r>
          <w:rPr>
            <w:webHidden/>
          </w:rPr>
          <w:fldChar w:fldCharType="separate"/>
        </w:r>
        <w:r>
          <w:rPr>
            <w:webHidden/>
          </w:rPr>
          <w:t>26</w:t>
        </w:r>
        <w:r>
          <w:rPr>
            <w:webHidden/>
          </w:rPr>
          <w:fldChar w:fldCharType="end"/>
        </w:r>
      </w:hyperlink>
    </w:p>
    <w:p w14:paraId="4FED1575" w14:textId="1270589F" w:rsidR="00094278" w:rsidRDefault="00094278">
      <w:pPr>
        <w:pStyle w:val="TOC2"/>
        <w:rPr>
          <w:rFonts w:eastAsiaTheme="minorEastAsia" w:cstheme="minorBidi"/>
          <w:i w:val="0"/>
          <w:iCs w:val="0"/>
          <w:color w:val="auto"/>
          <w:sz w:val="24"/>
          <w:szCs w:val="24"/>
        </w:rPr>
      </w:pPr>
      <w:hyperlink w:anchor="_Toc238729458" w:history="1">
        <w:r w:rsidRPr="002A3F8D">
          <w:rPr>
            <w:rStyle w:val="Hyperlink"/>
            <w:rFonts w:eastAsia="Times New Roman"/>
          </w:rPr>
          <w:t>PP-17: Naythra Narayanan, UCSF</w:t>
        </w:r>
        <w:r>
          <w:rPr>
            <w:webHidden/>
          </w:rPr>
          <w:tab/>
        </w:r>
        <w:r>
          <w:rPr>
            <w:webHidden/>
          </w:rPr>
          <w:fldChar w:fldCharType="begin"/>
        </w:r>
        <w:r>
          <w:rPr>
            <w:webHidden/>
          </w:rPr>
          <w:instrText xml:space="preserve"> PAGEREF _Toc238729458 \h </w:instrText>
        </w:r>
        <w:r>
          <w:rPr>
            <w:webHidden/>
          </w:rPr>
        </w:r>
        <w:r>
          <w:rPr>
            <w:webHidden/>
          </w:rPr>
          <w:fldChar w:fldCharType="separate"/>
        </w:r>
        <w:r>
          <w:rPr>
            <w:webHidden/>
          </w:rPr>
          <w:t>28</w:t>
        </w:r>
        <w:r>
          <w:rPr>
            <w:webHidden/>
          </w:rPr>
          <w:fldChar w:fldCharType="end"/>
        </w:r>
      </w:hyperlink>
    </w:p>
    <w:p w14:paraId="555D134D" w14:textId="776CA601" w:rsidR="00094278" w:rsidRDefault="00094278">
      <w:pPr>
        <w:pStyle w:val="TOC2"/>
        <w:rPr>
          <w:rFonts w:eastAsiaTheme="minorEastAsia" w:cstheme="minorBidi"/>
          <w:i w:val="0"/>
          <w:iCs w:val="0"/>
          <w:color w:val="auto"/>
          <w:sz w:val="24"/>
          <w:szCs w:val="24"/>
        </w:rPr>
      </w:pPr>
      <w:hyperlink w:anchor="_Toc238729459" w:history="1">
        <w:r w:rsidRPr="002A3F8D">
          <w:rPr>
            <w:rStyle w:val="Hyperlink"/>
            <w:rFonts w:eastAsia="Times New Roman"/>
          </w:rPr>
          <w:t>PP-18: Rutuja Nerurkar, UCSF</w:t>
        </w:r>
        <w:r>
          <w:rPr>
            <w:webHidden/>
          </w:rPr>
          <w:tab/>
        </w:r>
        <w:r>
          <w:rPr>
            <w:webHidden/>
          </w:rPr>
          <w:fldChar w:fldCharType="begin"/>
        </w:r>
        <w:r>
          <w:rPr>
            <w:webHidden/>
          </w:rPr>
          <w:instrText xml:space="preserve"> PAGEREF _Toc238729459 \h </w:instrText>
        </w:r>
        <w:r>
          <w:rPr>
            <w:webHidden/>
          </w:rPr>
        </w:r>
        <w:r>
          <w:rPr>
            <w:webHidden/>
          </w:rPr>
          <w:fldChar w:fldCharType="separate"/>
        </w:r>
        <w:r>
          <w:rPr>
            <w:webHidden/>
          </w:rPr>
          <w:t>30</w:t>
        </w:r>
        <w:r>
          <w:rPr>
            <w:webHidden/>
          </w:rPr>
          <w:fldChar w:fldCharType="end"/>
        </w:r>
      </w:hyperlink>
    </w:p>
    <w:p w14:paraId="6EBA5D17" w14:textId="350E0B95" w:rsidR="00094278" w:rsidRDefault="00094278">
      <w:pPr>
        <w:pStyle w:val="TOC2"/>
        <w:rPr>
          <w:rFonts w:eastAsiaTheme="minorEastAsia" w:cstheme="minorBidi"/>
          <w:i w:val="0"/>
          <w:iCs w:val="0"/>
          <w:color w:val="auto"/>
          <w:sz w:val="24"/>
          <w:szCs w:val="24"/>
        </w:rPr>
      </w:pPr>
      <w:hyperlink w:anchor="_Toc238729460" w:history="1">
        <w:r w:rsidRPr="002A3F8D">
          <w:rPr>
            <w:rStyle w:val="Hyperlink"/>
            <w:rFonts w:eastAsia="Times New Roman"/>
          </w:rPr>
          <w:t>PP-19: Ash O'Farrell, UC Santa Cruz</w:t>
        </w:r>
        <w:r>
          <w:rPr>
            <w:webHidden/>
          </w:rPr>
          <w:tab/>
        </w:r>
        <w:r>
          <w:rPr>
            <w:webHidden/>
          </w:rPr>
          <w:fldChar w:fldCharType="begin"/>
        </w:r>
        <w:r>
          <w:rPr>
            <w:webHidden/>
          </w:rPr>
          <w:instrText xml:space="preserve"> PAGEREF _Toc238729460 \h </w:instrText>
        </w:r>
        <w:r>
          <w:rPr>
            <w:webHidden/>
          </w:rPr>
        </w:r>
        <w:r>
          <w:rPr>
            <w:webHidden/>
          </w:rPr>
          <w:fldChar w:fldCharType="separate"/>
        </w:r>
        <w:r>
          <w:rPr>
            <w:webHidden/>
          </w:rPr>
          <w:t>31</w:t>
        </w:r>
        <w:r>
          <w:rPr>
            <w:webHidden/>
          </w:rPr>
          <w:fldChar w:fldCharType="end"/>
        </w:r>
      </w:hyperlink>
    </w:p>
    <w:p w14:paraId="7E923FAD" w14:textId="693D69BD" w:rsidR="00094278" w:rsidRDefault="00094278">
      <w:pPr>
        <w:pStyle w:val="TOC2"/>
        <w:rPr>
          <w:rFonts w:eastAsiaTheme="minorEastAsia" w:cstheme="minorBidi"/>
          <w:i w:val="0"/>
          <w:iCs w:val="0"/>
          <w:color w:val="auto"/>
          <w:sz w:val="24"/>
          <w:szCs w:val="24"/>
        </w:rPr>
      </w:pPr>
      <w:hyperlink w:anchor="_Toc238729461" w:history="1">
        <w:r w:rsidRPr="002A3F8D">
          <w:rPr>
            <w:rStyle w:val="Hyperlink"/>
            <w:rFonts w:eastAsia="Times New Roman"/>
          </w:rPr>
          <w:t>PP-20: Oshiomah Oyageshio, University of California Davis</w:t>
        </w:r>
        <w:r>
          <w:rPr>
            <w:webHidden/>
          </w:rPr>
          <w:tab/>
        </w:r>
        <w:r>
          <w:rPr>
            <w:webHidden/>
          </w:rPr>
          <w:fldChar w:fldCharType="begin"/>
        </w:r>
        <w:r>
          <w:rPr>
            <w:webHidden/>
          </w:rPr>
          <w:instrText xml:space="preserve"> PAGEREF _Toc238729461 \h </w:instrText>
        </w:r>
        <w:r>
          <w:rPr>
            <w:webHidden/>
          </w:rPr>
        </w:r>
        <w:r>
          <w:rPr>
            <w:webHidden/>
          </w:rPr>
          <w:fldChar w:fldCharType="separate"/>
        </w:r>
        <w:r>
          <w:rPr>
            <w:webHidden/>
          </w:rPr>
          <w:t>32</w:t>
        </w:r>
        <w:r>
          <w:rPr>
            <w:webHidden/>
          </w:rPr>
          <w:fldChar w:fldCharType="end"/>
        </w:r>
      </w:hyperlink>
    </w:p>
    <w:p w14:paraId="4BA1C782" w14:textId="69A63021" w:rsidR="00094278" w:rsidRDefault="00094278">
      <w:pPr>
        <w:pStyle w:val="TOC2"/>
        <w:rPr>
          <w:rFonts w:eastAsiaTheme="minorEastAsia" w:cstheme="minorBidi"/>
          <w:i w:val="0"/>
          <w:iCs w:val="0"/>
          <w:color w:val="auto"/>
          <w:sz w:val="24"/>
          <w:szCs w:val="24"/>
        </w:rPr>
      </w:pPr>
      <w:hyperlink w:anchor="_Toc238729462" w:history="1">
        <w:r w:rsidRPr="002A3F8D">
          <w:rPr>
            <w:rStyle w:val="Hyperlink"/>
            <w:rFonts w:eastAsia="Times New Roman"/>
          </w:rPr>
          <w:t>PP-21: Hayley Poore, UC Irvine</w:t>
        </w:r>
        <w:r>
          <w:rPr>
            <w:webHidden/>
          </w:rPr>
          <w:tab/>
        </w:r>
        <w:r>
          <w:rPr>
            <w:webHidden/>
          </w:rPr>
          <w:fldChar w:fldCharType="begin"/>
        </w:r>
        <w:r>
          <w:rPr>
            <w:webHidden/>
          </w:rPr>
          <w:instrText xml:space="preserve"> PAGEREF _Toc238729462 \h </w:instrText>
        </w:r>
        <w:r>
          <w:rPr>
            <w:webHidden/>
          </w:rPr>
        </w:r>
        <w:r>
          <w:rPr>
            <w:webHidden/>
          </w:rPr>
          <w:fldChar w:fldCharType="separate"/>
        </w:r>
        <w:r>
          <w:rPr>
            <w:webHidden/>
          </w:rPr>
          <w:t>33</w:t>
        </w:r>
        <w:r>
          <w:rPr>
            <w:webHidden/>
          </w:rPr>
          <w:fldChar w:fldCharType="end"/>
        </w:r>
      </w:hyperlink>
    </w:p>
    <w:p w14:paraId="186FA337" w14:textId="0B54B2CF" w:rsidR="00094278" w:rsidRDefault="00094278">
      <w:pPr>
        <w:pStyle w:val="TOC2"/>
        <w:rPr>
          <w:rFonts w:eastAsiaTheme="minorEastAsia" w:cstheme="minorBidi"/>
          <w:i w:val="0"/>
          <w:iCs w:val="0"/>
          <w:color w:val="auto"/>
          <w:sz w:val="24"/>
          <w:szCs w:val="24"/>
        </w:rPr>
      </w:pPr>
      <w:hyperlink w:anchor="_Toc238729463" w:history="1">
        <w:r w:rsidRPr="002A3F8D">
          <w:rPr>
            <w:rStyle w:val="Hyperlink"/>
            <w:rFonts w:eastAsia="Times New Roman"/>
          </w:rPr>
          <w:t>PP-22: Sumanth Reddy, UCSF</w:t>
        </w:r>
        <w:r>
          <w:rPr>
            <w:webHidden/>
          </w:rPr>
          <w:tab/>
        </w:r>
        <w:r>
          <w:rPr>
            <w:webHidden/>
          </w:rPr>
          <w:fldChar w:fldCharType="begin"/>
        </w:r>
        <w:r>
          <w:rPr>
            <w:webHidden/>
          </w:rPr>
          <w:instrText xml:space="preserve"> PAGEREF _Toc238729463 \h </w:instrText>
        </w:r>
        <w:r>
          <w:rPr>
            <w:webHidden/>
          </w:rPr>
        </w:r>
        <w:r>
          <w:rPr>
            <w:webHidden/>
          </w:rPr>
          <w:fldChar w:fldCharType="separate"/>
        </w:r>
        <w:r>
          <w:rPr>
            <w:webHidden/>
          </w:rPr>
          <w:t>34</w:t>
        </w:r>
        <w:r>
          <w:rPr>
            <w:webHidden/>
          </w:rPr>
          <w:fldChar w:fldCharType="end"/>
        </w:r>
      </w:hyperlink>
    </w:p>
    <w:p w14:paraId="0DD5386B" w14:textId="3402C459" w:rsidR="00094278" w:rsidRDefault="00094278">
      <w:pPr>
        <w:pStyle w:val="TOC2"/>
        <w:rPr>
          <w:rFonts w:eastAsiaTheme="minorEastAsia" w:cstheme="minorBidi"/>
          <w:i w:val="0"/>
          <w:iCs w:val="0"/>
          <w:color w:val="auto"/>
          <w:sz w:val="24"/>
          <w:szCs w:val="24"/>
        </w:rPr>
      </w:pPr>
      <w:hyperlink w:anchor="_Toc238729464" w:history="1">
        <w:r w:rsidRPr="002A3F8D">
          <w:rPr>
            <w:rStyle w:val="Hyperlink"/>
            <w:rFonts w:eastAsia="Times New Roman"/>
          </w:rPr>
          <w:t>PP-23: Yashleen Sharma, University of California San Francisco</w:t>
        </w:r>
        <w:r>
          <w:rPr>
            <w:webHidden/>
          </w:rPr>
          <w:tab/>
        </w:r>
        <w:r>
          <w:rPr>
            <w:webHidden/>
          </w:rPr>
          <w:fldChar w:fldCharType="begin"/>
        </w:r>
        <w:r>
          <w:rPr>
            <w:webHidden/>
          </w:rPr>
          <w:instrText xml:space="preserve"> PAGEREF _Toc238729464 \h </w:instrText>
        </w:r>
        <w:r>
          <w:rPr>
            <w:webHidden/>
          </w:rPr>
        </w:r>
        <w:r>
          <w:rPr>
            <w:webHidden/>
          </w:rPr>
          <w:fldChar w:fldCharType="separate"/>
        </w:r>
        <w:r>
          <w:rPr>
            <w:webHidden/>
          </w:rPr>
          <w:t>35</w:t>
        </w:r>
        <w:r>
          <w:rPr>
            <w:webHidden/>
          </w:rPr>
          <w:fldChar w:fldCharType="end"/>
        </w:r>
      </w:hyperlink>
    </w:p>
    <w:p w14:paraId="47E226A1" w14:textId="6F2A309C" w:rsidR="00094278" w:rsidRDefault="00094278">
      <w:pPr>
        <w:pStyle w:val="TOC2"/>
        <w:rPr>
          <w:rFonts w:eastAsiaTheme="minorEastAsia" w:cstheme="minorBidi"/>
          <w:i w:val="0"/>
          <w:iCs w:val="0"/>
          <w:color w:val="auto"/>
          <w:sz w:val="24"/>
          <w:szCs w:val="24"/>
        </w:rPr>
      </w:pPr>
      <w:hyperlink w:anchor="_Toc238729465" w:history="1">
        <w:r w:rsidRPr="002A3F8D">
          <w:rPr>
            <w:rStyle w:val="Hyperlink"/>
            <w:rFonts w:eastAsia="Times New Roman"/>
          </w:rPr>
          <w:t>PP-24: Brinda Srinivasan, University of California, Berkeley</w:t>
        </w:r>
        <w:r>
          <w:rPr>
            <w:webHidden/>
          </w:rPr>
          <w:tab/>
        </w:r>
        <w:r>
          <w:rPr>
            <w:webHidden/>
          </w:rPr>
          <w:fldChar w:fldCharType="begin"/>
        </w:r>
        <w:r>
          <w:rPr>
            <w:webHidden/>
          </w:rPr>
          <w:instrText xml:space="preserve"> PAGEREF _Toc238729465 \h </w:instrText>
        </w:r>
        <w:r>
          <w:rPr>
            <w:webHidden/>
          </w:rPr>
        </w:r>
        <w:r>
          <w:rPr>
            <w:webHidden/>
          </w:rPr>
          <w:fldChar w:fldCharType="separate"/>
        </w:r>
        <w:r>
          <w:rPr>
            <w:webHidden/>
          </w:rPr>
          <w:t>36</w:t>
        </w:r>
        <w:r>
          <w:rPr>
            <w:webHidden/>
          </w:rPr>
          <w:fldChar w:fldCharType="end"/>
        </w:r>
      </w:hyperlink>
    </w:p>
    <w:p w14:paraId="49F0CC73" w14:textId="174120A6" w:rsidR="00094278" w:rsidRDefault="00094278">
      <w:pPr>
        <w:pStyle w:val="TOC2"/>
        <w:rPr>
          <w:rFonts w:eastAsiaTheme="minorEastAsia" w:cstheme="minorBidi"/>
          <w:i w:val="0"/>
          <w:iCs w:val="0"/>
          <w:color w:val="auto"/>
          <w:sz w:val="24"/>
          <w:szCs w:val="24"/>
        </w:rPr>
      </w:pPr>
      <w:hyperlink w:anchor="_Toc238729466" w:history="1">
        <w:r w:rsidRPr="002A3F8D">
          <w:rPr>
            <w:rStyle w:val="Hyperlink"/>
            <w:rFonts w:eastAsia="Times New Roman"/>
          </w:rPr>
          <w:t>PP-25: Steven Tan, Fluxus</w:t>
        </w:r>
        <w:r>
          <w:rPr>
            <w:webHidden/>
          </w:rPr>
          <w:tab/>
        </w:r>
        <w:r>
          <w:rPr>
            <w:webHidden/>
          </w:rPr>
          <w:fldChar w:fldCharType="begin"/>
        </w:r>
        <w:r>
          <w:rPr>
            <w:webHidden/>
          </w:rPr>
          <w:instrText xml:space="preserve"> PAGEREF _Toc238729466 \h </w:instrText>
        </w:r>
        <w:r>
          <w:rPr>
            <w:webHidden/>
          </w:rPr>
        </w:r>
        <w:r>
          <w:rPr>
            <w:webHidden/>
          </w:rPr>
          <w:fldChar w:fldCharType="separate"/>
        </w:r>
        <w:r>
          <w:rPr>
            <w:webHidden/>
          </w:rPr>
          <w:t>37</w:t>
        </w:r>
        <w:r>
          <w:rPr>
            <w:webHidden/>
          </w:rPr>
          <w:fldChar w:fldCharType="end"/>
        </w:r>
      </w:hyperlink>
    </w:p>
    <w:p w14:paraId="35E02913" w14:textId="424B727E" w:rsidR="00094278" w:rsidRDefault="00094278">
      <w:pPr>
        <w:pStyle w:val="TOC2"/>
        <w:rPr>
          <w:rFonts w:eastAsiaTheme="minorEastAsia" w:cstheme="minorBidi"/>
          <w:i w:val="0"/>
          <w:iCs w:val="0"/>
          <w:color w:val="auto"/>
          <w:sz w:val="24"/>
          <w:szCs w:val="24"/>
        </w:rPr>
      </w:pPr>
      <w:hyperlink w:anchor="_Toc238729467" w:history="1">
        <w:r w:rsidRPr="002A3F8D">
          <w:rPr>
            <w:rStyle w:val="Hyperlink"/>
            <w:rFonts w:eastAsia="Times New Roman"/>
          </w:rPr>
          <w:t>PP-26: Anjelica Vance, UCSF</w:t>
        </w:r>
        <w:r>
          <w:rPr>
            <w:webHidden/>
          </w:rPr>
          <w:tab/>
        </w:r>
        <w:r>
          <w:rPr>
            <w:webHidden/>
          </w:rPr>
          <w:fldChar w:fldCharType="begin"/>
        </w:r>
        <w:r>
          <w:rPr>
            <w:webHidden/>
          </w:rPr>
          <w:instrText xml:space="preserve"> PAGEREF _Toc238729467 \h </w:instrText>
        </w:r>
        <w:r>
          <w:rPr>
            <w:webHidden/>
          </w:rPr>
        </w:r>
        <w:r>
          <w:rPr>
            <w:webHidden/>
          </w:rPr>
          <w:fldChar w:fldCharType="separate"/>
        </w:r>
        <w:r>
          <w:rPr>
            <w:webHidden/>
          </w:rPr>
          <w:t>38</w:t>
        </w:r>
        <w:r>
          <w:rPr>
            <w:webHidden/>
          </w:rPr>
          <w:fldChar w:fldCharType="end"/>
        </w:r>
      </w:hyperlink>
    </w:p>
    <w:p w14:paraId="73949AD0" w14:textId="7991ACAE" w:rsidR="00094278" w:rsidRDefault="00094278">
      <w:pPr>
        <w:pStyle w:val="TOC2"/>
        <w:rPr>
          <w:rFonts w:eastAsiaTheme="minorEastAsia" w:cstheme="minorBidi"/>
          <w:i w:val="0"/>
          <w:iCs w:val="0"/>
          <w:color w:val="auto"/>
          <w:sz w:val="24"/>
          <w:szCs w:val="24"/>
        </w:rPr>
      </w:pPr>
      <w:hyperlink w:anchor="_Toc238729468" w:history="1">
        <w:r w:rsidRPr="002A3F8D">
          <w:rPr>
            <w:rStyle w:val="Hyperlink"/>
            <w:rFonts w:eastAsia="Times New Roman"/>
          </w:rPr>
          <w:t>PP-27: Erika Viana-Cardenas, Stanford University</w:t>
        </w:r>
        <w:r>
          <w:rPr>
            <w:webHidden/>
          </w:rPr>
          <w:tab/>
        </w:r>
        <w:r>
          <w:rPr>
            <w:webHidden/>
          </w:rPr>
          <w:fldChar w:fldCharType="begin"/>
        </w:r>
        <w:r>
          <w:rPr>
            <w:webHidden/>
          </w:rPr>
          <w:instrText xml:space="preserve"> PAGEREF _Toc238729468 \h </w:instrText>
        </w:r>
        <w:r>
          <w:rPr>
            <w:webHidden/>
          </w:rPr>
        </w:r>
        <w:r>
          <w:rPr>
            <w:webHidden/>
          </w:rPr>
          <w:fldChar w:fldCharType="separate"/>
        </w:r>
        <w:r>
          <w:rPr>
            <w:webHidden/>
          </w:rPr>
          <w:t>39</w:t>
        </w:r>
        <w:r>
          <w:rPr>
            <w:webHidden/>
          </w:rPr>
          <w:fldChar w:fldCharType="end"/>
        </w:r>
      </w:hyperlink>
    </w:p>
    <w:p w14:paraId="27040065" w14:textId="15606B01" w:rsidR="00094278" w:rsidRDefault="00094278">
      <w:pPr>
        <w:pStyle w:val="TOC2"/>
        <w:rPr>
          <w:rFonts w:eastAsiaTheme="minorEastAsia" w:cstheme="minorBidi"/>
          <w:i w:val="0"/>
          <w:iCs w:val="0"/>
          <w:color w:val="auto"/>
          <w:sz w:val="24"/>
          <w:szCs w:val="24"/>
        </w:rPr>
      </w:pPr>
      <w:hyperlink w:anchor="_Toc238729469" w:history="1">
        <w:r w:rsidRPr="002A3F8D">
          <w:rPr>
            <w:rStyle w:val="Hyperlink"/>
            <w:rFonts w:eastAsia="Times New Roman"/>
          </w:rPr>
          <w:t>PP-28: Qiao Wang, UCI</w:t>
        </w:r>
        <w:r>
          <w:rPr>
            <w:webHidden/>
          </w:rPr>
          <w:tab/>
        </w:r>
        <w:r>
          <w:rPr>
            <w:webHidden/>
          </w:rPr>
          <w:fldChar w:fldCharType="begin"/>
        </w:r>
        <w:r>
          <w:rPr>
            <w:webHidden/>
          </w:rPr>
          <w:instrText xml:space="preserve"> PAGEREF _Toc238729469 \h </w:instrText>
        </w:r>
        <w:r>
          <w:rPr>
            <w:webHidden/>
          </w:rPr>
        </w:r>
        <w:r>
          <w:rPr>
            <w:webHidden/>
          </w:rPr>
          <w:fldChar w:fldCharType="separate"/>
        </w:r>
        <w:r>
          <w:rPr>
            <w:webHidden/>
          </w:rPr>
          <w:t>41</w:t>
        </w:r>
        <w:r>
          <w:rPr>
            <w:webHidden/>
          </w:rPr>
          <w:fldChar w:fldCharType="end"/>
        </w:r>
      </w:hyperlink>
    </w:p>
    <w:p w14:paraId="2E28FE3E" w14:textId="5F8FECA5" w:rsidR="00331C2C" w:rsidRDefault="5E68F7DD" w:rsidP="50550109">
      <w:pPr>
        <w:pStyle w:val="TOC2"/>
        <w:rPr>
          <w:rStyle w:val="Hyperlink"/>
        </w:rPr>
      </w:pPr>
      <w:r>
        <w:fldChar w:fldCharType="end"/>
      </w:r>
    </w:p>
    <w:p w14:paraId="75AE5A53" w14:textId="77777777" w:rsidR="003D1A10" w:rsidRDefault="003D1A10" w:rsidP="007154B6">
      <w:pPr>
        <w:pStyle w:val="TOC2"/>
        <w:rPr>
          <w:rStyle w:val="Hyperlink"/>
        </w:rPr>
      </w:pPr>
    </w:p>
    <w:p w14:paraId="3CCC1F22" w14:textId="11F718B2" w:rsidR="006240CA" w:rsidRPr="007154B6" w:rsidRDefault="50550109" w:rsidP="007154B6">
      <w:pPr>
        <w:pStyle w:val="TOC2"/>
        <w:rPr>
          <w:rStyle w:val="Hyperlink"/>
          <w:color w:val="000000" w:themeColor="text1"/>
          <w:u w:val="none"/>
        </w:rPr>
      </w:pPr>
      <w:r>
        <w:rPr>
          <w:rStyle w:val="Hyperlink"/>
          <w:color w:val="000000" w:themeColor="text1"/>
          <w:u w:val="none"/>
        </w:rPr>
        <w:t>As of 8/</w:t>
      </w:r>
      <w:r w:rsidR="00094278">
        <w:rPr>
          <w:rStyle w:val="Hyperlink"/>
          <w:color w:val="000000" w:themeColor="text1"/>
          <w:u w:val="none"/>
        </w:rPr>
        <w:t>27</w:t>
      </w:r>
      <w:r>
        <w:rPr>
          <w:rStyle w:val="Hyperlink"/>
          <w:color w:val="000000" w:themeColor="text1"/>
          <w:u w:val="none"/>
        </w:rPr>
        <w:t>/26</w:t>
      </w:r>
    </w:p>
    <w:p w14:paraId="7DD3344A" w14:textId="77777777" w:rsidR="00D8288A" w:rsidRPr="00D62AF1" w:rsidRDefault="00D8288A" w:rsidP="47329FDA"/>
    <w:p w14:paraId="2A89EC07" w14:textId="77777777" w:rsidR="000150A1" w:rsidRPr="00D62AF1" w:rsidRDefault="000150A1" w:rsidP="001854EA">
      <w:pPr>
        <w:spacing w:after="0" w:line="240" w:lineRule="auto"/>
        <w:rPr>
          <w:rFonts w:cstheme="minorHAnsi"/>
          <w:color w:val="FF0000"/>
          <w:sz w:val="36"/>
          <w:szCs w:val="36"/>
        </w:rPr>
        <w:sectPr w:rsidR="000150A1" w:rsidRPr="00D62AF1" w:rsidSect="00E202B1">
          <w:headerReference w:type="even" r:id="rId12"/>
          <w:headerReference w:type="default" r:id="rId13"/>
          <w:footerReference w:type="default" r:id="rId14"/>
          <w:headerReference w:type="first" r:id="rId15"/>
          <w:pgSz w:w="12240" w:h="15840"/>
          <w:pgMar w:top="702" w:right="1440" w:bottom="756" w:left="1440" w:header="720" w:footer="720" w:gutter="0"/>
          <w:pgNumType w:start="1"/>
          <w:cols w:space="720"/>
          <w:docGrid w:linePitch="360"/>
        </w:sectPr>
      </w:pPr>
    </w:p>
    <w:p w14:paraId="083086AA" w14:textId="77777777" w:rsidR="00D8288A" w:rsidRPr="00D62AF1" w:rsidRDefault="00D8288A">
      <w:pPr>
        <w:rPr>
          <w:rFonts w:eastAsiaTheme="majorEastAsia" w:cstheme="minorHAnsi"/>
          <w:color w:val="FF0000"/>
          <w:sz w:val="36"/>
          <w:szCs w:val="32"/>
        </w:rPr>
      </w:pPr>
      <w:bookmarkStart w:id="0" w:name="_Toc176784293"/>
      <w:bookmarkStart w:id="1" w:name="_Toc204260728"/>
      <w:bookmarkStart w:id="2" w:name="_Toc142392582"/>
      <w:bookmarkStart w:id="3" w:name="_Toc142657995"/>
      <w:r>
        <w:rPr>
          <w:rFonts w:cstheme="minorHAnsi"/>
        </w:rPr>
        <w:br w:type="page"/>
      </w:r>
    </w:p>
    <w:p w14:paraId="48AACB20" w14:textId="77777777" w:rsidR="00AC34C1" w:rsidRPr="00D62AF1" w:rsidRDefault="18137F8B" w:rsidP="50550109">
      <w:pPr>
        <w:pStyle w:val="Heading1"/>
        <w:rPr>
          <w:rFonts w:asciiTheme="minorHAnsi" w:hAnsiTheme="minorHAnsi" w:cstheme="minorBidi"/>
        </w:rPr>
      </w:pPr>
      <w:bookmarkStart w:id="4" w:name="_Toc238729435"/>
      <w:r>
        <w:rPr>
          <w:rFonts w:asciiTheme="minorHAnsi" w:hAnsiTheme="minorHAnsi" w:cstheme="minorBidi"/>
        </w:rPr>
        <w:lastRenderedPageBreak/>
        <w:t>Planning Committee</w:t>
      </w:r>
      <w:bookmarkEnd w:id="0"/>
      <w:bookmarkEnd w:id="1"/>
      <w:bookmarkEnd w:id="4"/>
    </w:p>
    <w:p w14:paraId="5B3F5A46" w14:textId="77777777" w:rsidR="00AC34C1" w:rsidRPr="00D62AF1" w:rsidRDefault="00AC34C1" w:rsidP="00AC34C1">
      <w:pPr>
        <w:spacing w:after="0" w:line="240" w:lineRule="auto"/>
        <w:rPr>
          <w:rFonts w:cstheme="minorHAnsi"/>
        </w:rPr>
      </w:pPr>
    </w:p>
    <w:p w14:paraId="28770C7E" w14:textId="77777777" w:rsidR="00AC34C1" w:rsidRPr="00D62AF1" w:rsidRDefault="00AC34C1" w:rsidP="00AC34C1">
      <w:pPr>
        <w:tabs>
          <w:tab w:val="left" w:pos="360"/>
        </w:tabs>
        <w:spacing w:after="0" w:line="240" w:lineRule="auto"/>
        <w:rPr>
          <w:rFonts w:cstheme="minorHAnsi"/>
          <w:i/>
          <w:iCs/>
        </w:rPr>
      </w:pPr>
      <w:r>
        <w:rPr>
          <w:rFonts w:cstheme="minorHAnsi"/>
          <w:i/>
          <w:iCs/>
        </w:rPr>
        <w:t>Chairs</w:t>
      </w:r>
    </w:p>
    <w:p w14:paraId="7A27082D" w14:textId="77777777" w:rsidR="00AC34C1" w:rsidRPr="00D62AF1" w:rsidRDefault="00AC34C1" w:rsidP="00AC34C1">
      <w:pPr>
        <w:tabs>
          <w:tab w:val="left" w:pos="360"/>
        </w:tabs>
        <w:spacing w:after="0" w:line="240" w:lineRule="auto"/>
        <w:ind w:left="360"/>
        <w:rPr>
          <w:rFonts w:eastAsia="Calibri" w:cstheme="minorHAnsi"/>
          <w:color w:val="000000" w:themeColor="text1"/>
        </w:rPr>
      </w:pPr>
      <w:r>
        <w:rPr>
          <w:rFonts w:eastAsia="Calibri" w:cstheme="minorHAnsi"/>
          <w:b/>
          <w:bCs/>
          <w:color w:val="000000" w:themeColor="text1"/>
        </w:rPr>
        <w:t>Babak Javid</w:t>
      </w:r>
      <w:r>
        <w:rPr>
          <w:rFonts w:eastAsia="Calibri" w:cstheme="minorHAnsi"/>
          <w:color w:val="000000" w:themeColor="text1"/>
        </w:rPr>
        <w:t>, MB BChir, PhD, Associate Professor, UCSF</w:t>
      </w:r>
      <w:r>
        <w:rPr>
          <w:rFonts w:cstheme="minorHAnsi"/>
        </w:rPr>
        <w:br/>
      </w:r>
      <w:r>
        <w:rPr>
          <w:rFonts w:eastAsia="Calibri" w:cstheme="minorHAnsi"/>
          <w:b/>
          <w:bCs/>
          <w:color w:val="000000" w:themeColor="text1"/>
        </w:rPr>
        <w:t>Sarah Stanley</w:t>
      </w:r>
      <w:r>
        <w:rPr>
          <w:rFonts w:eastAsia="Calibri" w:cstheme="minorHAnsi"/>
          <w:color w:val="000000" w:themeColor="text1"/>
        </w:rPr>
        <w:t>, PhD, Associate Professor, UC Berkeley</w:t>
      </w:r>
    </w:p>
    <w:p w14:paraId="46718E59" w14:textId="77777777" w:rsidR="00AC34C1" w:rsidRPr="00D62AF1" w:rsidRDefault="00AC34C1" w:rsidP="00AC34C1">
      <w:pPr>
        <w:tabs>
          <w:tab w:val="left" w:pos="360"/>
        </w:tabs>
        <w:spacing w:after="0" w:line="240" w:lineRule="auto"/>
        <w:rPr>
          <w:rFonts w:eastAsia="Calibri" w:cstheme="minorHAnsi"/>
          <w:color w:val="000000" w:themeColor="text1"/>
        </w:rPr>
      </w:pPr>
    </w:p>
    <w:p w14:paraId="0D6ECAAC" w14:textId="77777777" w:rsidR="00AC34C1" w:rsidRPr="00D62AF1" w:rsidRDefault="00AC34C1" w:rsidP="00AC34C1">
      <w:pPr>
        <w:tabs>
          <w:tab w:val="left" w:pos="360"/>
        </w:tabs>
        <w:spacing w:after="0" w:line="240" w:lineRule="auto"/>
        <w:rPr>
          <w:rFonts w:eastAsia="Calibri" w:cstheme="minorHAnsi"/>
          <w:i/>
          <w:iCs/>
          <w:color w:val="000000" w:themeColor="text1"/>
        </w:rPr>
      </w:pPr>
      <w:r>
        <w:rPr>
          <w:rFonts w:eastAsia="Calibri" w:cstheme="minorHAnsi"/>
          <w:i/>
          <w:iCs/>
          <w:color w:val="000000" w:themeColor="text1"/>
        </w:rPr>
        <w:t>Members</w:t>
      </w:r>
    </w:p>
    <w:p w14:paraId="6E61CFE5" w14:textId="77777777" w:rsidR="0014691C" w:rsidRDefault="00AC34C1" w:rsidP="0014691C">
      <w:pPr>
        <w:tabs>
          <w:tab w:val="left" w:pos="360"/>
        </w:tabs>
        <w:spacing w:after="0" w:line="240" w:lineRule="auto"/>
        <w:rPr>
          <w:rFonts w:eastAsia="Calibri" w:cstheme="minorHAnsi"/>
          <w:color w:val="000000" w:themeColor="text1"/>
        </w:rPr>
      </w:pPr>
      <w:r>
        <w:rPr>
          <w:rFonts w:eastAsia="Calibri" w:cstheme="minorHAnsi"/>
          <w:b/>
          <w:bCs/>
          <w:color w:val="000000" w:themeColor="text1"/>
        </w:rPr>
        <w:tab/>
        <w:t>Antonio J. Pagán</w:t>
      </w:r>
      <w:r>
        <w:rPr>
          <w:rFonts w:eastAsia="Calibri" w:cstheme="minorHAnsi"/>
          <w:color w:val="000000" w:themeColor="text1"/>
        </w:rPr>
        <w:t>, PhD, Assistant Professor, Stanford University</w:t>
      </w:r>
    </w:p>
    <w:p w14:paraId="397172DC" w14:textId="77777777" w:rsidR="00315126" w:rsidRPr="00D62AF1" w:rsidRDefault="00315126" w:rsidP="0014691C">
      <w:pPr>
        <w:tabs>
          <w:tab w:val="left" w:pos="360"/>
        </w:tabs>
        <w:spacing w:after="0" w:line="240" w:lineRule="auto"/>
        <w:rPr>
          <w:rFonts w:eastAsia="Calibri" w:cstheme="minorHAnsi"/>
          <w:color w:val="000000" w:themeColor="text1"/>
        </w:rPr>
      </w:pPr>
      <w:r>
        <w:rPr>
          <w:rFonts w:eastAsia="Calibri" w:cstheme="minorHAnsi"/>
          <w:color w:val="000000" w:themeColor="text1"/>
        </w:rPr>
        <w:tab/>
      </w:r>
      <w:r>
        <w:rPr>
          <w:rFonts w:eastAsia="Calibri" w:cstheme="minorHAnsi"/>
          <w:b/>
          <w:bCs/>
          <w:color w:val="000000" w:themeColor="text1"/>
        </w:rPr>
        <w:t>Andrew Kerkhoff</w:t>
      </w:r>
      <w:r>
        <w:rPr>
          <w:rFonts w:eastAsia="Calibri" w:cstheme="minorHAnsi"/>
          <w:color w:val="000000" w:themeColor="text1"/>
        </w:rPr>
        <w:t>, MD, PhD, MS, Assistant Professor, UCSF</w:t>
      </w:r>
    </w:p>
    <w:p w14:paraId="505046B3" w14:textId="77777777" w:rsidR="0026067F" w:rsidRPr="00D62AF1" w:rsidRDefault="0014691C" w:rsidP="00AC34C1">
      <w:pPr>
        <w:tabs>
          <w:tab w:val="left" w:pos="360"/>
        </w:tabs>
        <w:spacing w:after="0" w:line="240" w:lineRule="auto"/>
        <w:rPr>
          <w:rFonts w:eastAsia="Calibri" w:cstheme="minorHAnsi"/>
          <w:b/>
          <w:bCs/>
          <w:color w:val="000000" w:themeColor="text1"/>
        </w:rPr>
      </w:pPr>
      <w:r>
        <w:rPr>
          <w:rFonts w:cstheme="minorHAnsi"/>
          <w:b/>
          <w:bCs/>
        </w:rPr>
        <w:tab/>
        <w:t>Bennett Penn</w:t>
      </w:r>
      <w:r>
        <w:rPr>
          <w:rFonts w:cstheme="minorHAnsi"/>
        </w:rPr>
        <w:t>, MD, MPH, Assistant Professor, UC Davis</w:t>
      </w:r>
    </w:p>
    <w:p w14:paraId="32B526A2" w14:textId="77777777" w:rsidR="002A0E5D" w:rsidRPr="00D62AF1" w:rsidRDefault="233AA0D3" w:rsidP="233AA0D3">
      <w:pPr>
        <w:tabs>
          <w:tab w:val="left" w:pos="360"/>
        </w:tabs>
        <w:spacing w:after="0" w:line="240" w:lineRule="auto"/>
        <w:ind w:left="360"/>
        <w:rPr>
          <w:rFonts w:eastAsia="Calibri" w:cstheme="minorHAnsi"/>
          <w:color w:val="000000" w:themeColor="text1"/>
        </w:rPr>
      </w:pPr>
      <w:r>
        <w:rPr>
          <w:rFonts w:cstheme="minorHAnsi"/>
          <w:b/>
          <w:bCs/>
        </w:rPr>
        <w:t>Barbara Alonso</w:t>
      </w:r>
      <w:r>
        <w:rPr>
          <w:rFonts w:cstheme="minorHAnsi"/>
        </w:rPr>
        <w:t xml:space="preserve">, Program Coordinator, </w:t>
      </w:r>
      <w:r>
        <w:rPr>
          <w:rFonts w:eastAsia="Calibri" w:cstheme="minorHAnsi"/>
          <w:color w:val="000000" w:themeColor="text1"/>
        </w:rPr>
        <w:t>UCSF Center for Tuberculosis</w:t>
      </w:r>
    </w:p>
    <w:p w14:paraId="6A97D404" w14:textId="77777777" w:rsidR="00AC34C1" w:rsidRPr="00D62AF1" w:rsidRDefault="00AC34C1" w:rsidP="00AC34C1">
      <w:pPr>
        <w:tabs>
          <w:tab w:val="left" w:pos="360"/>
        </w:tabs>
        <w:spacing w:after="0" w:line="240" w:lineRule="auto"/>
        <w:rPr>
          <w:rFonts w:eastAsia="Calibri" w:cstheme="minorHAnsi"/>
          <w:caps/>
          <w:color w:val="000000" w:themeColor="text1"/>
        </w:rPr>
      </w:pPr>
    </w:p>
    <w:p w14:paraId="5DAD7C03" w14:textId="77777777" w:rsidR="00AC34C1" w:rsidRPr="00D62AF1" w:rsidRDefault="00AC34C1" w:rsidP="00AC34C1">
      <w:pPr>
        <w:tabs>
          <w:tab w:val="left" w:pos="360"/>
        </w:tabs>
        <w:spacing w:after="0" w:line="240" w:lineRule="auto"/>
        <w:rPr>
          <w:rFonts w:eastAsia="Calibri" w:cstheme="minorHAnsi"/>
          <w:i/>
          <w:iCs/>
          <w:caps/>
          <w:color w:val="000000" w:themeColor="text1"/>
        </w:rPr>
      </w:pPr>
      <w:r>
        <w:rPr>
          <w:rFonts w:eastAsia="Calibri" w:cstheme="minorHAnsi"/>
          <w:i/>
          <w:iCs/>
          <w:color w:val="000000" w:themeColor="text1"/>
        </w:rPr>
        <w:t>Administrative Support</w:t>
      </w:r>
    </w:p>
    <w:p w14:paraId="637B61C5" w14:textId="77777777" w:rsidR="0026067F" w:rsidRPr="00D62AF1" w:rsidRDefault="0026067F" w:rsidP="0026067F">
      <w:pPr>
        <w:tabs>
          <w:tab w:val="left" w:pos="360"/>
        </w:tabs>
        <w:spacing w:after="0" w:line="240" w:lineRule="auto"/>
        <w:ind w:left="360"/>
        <w:rPr>
          <w:rFonts w:eastAsia="Calibri" w:cstheme="minorHAnsi"/>
          <w:color w:val="000000" w:themeColor="text1"/>
        </w:rPr>
      </w:pPr>
      <w:r>
        <w:rPr>
          <w:rFonts w:eastAsia="Calibri" w:cstheme="minorHAnsi"/>
          <w:b/>
          <w:bCs/>
          <w:color w:val="000000" w:themeColor="text1"/>
        </w:rPr>
        <w:t>Sarah Hutch</w:t>
      </w:r>
      <w:r>
        <w:rPr>
          <w:rFonts w:eastAsia="Calibri" w:cstheme="minorHAnsi"/>
          <w:color w:val="000000" w:themeColor="text1"/>
        </w:rPr>
        <w:t>, Associate Director, UCSF Center for Tuberculosis</w:t>
      </w:r>
    </w:p>
    <w:p w14:paraId="0F62A4E0" w14:textId="77777777" w:rsidR="00E47A50" w:rsidRPr="00D62AF1" w:rsidRDefault="00315126" w:rsidP="009B0CEF">
      <w:pPr>
        <w:tabs>
          <w:tab w:val="left" w:pos="360"/>
        </w:tabs>
        <w:spacing w:after="0" w:line="240" w:lineRule="auto"/>
        <w:ind w:left="360" w:right="-360"/>
        <w:rPr>
          <w:rFonts w:eastAsia="Calibri" w:cstheme="minorHAnsi"/>
          <w:color w:val="000000" w:themeColor="text1"/>
        </w:rPr>
      </w:pPr>
      <w:r>
        <w:rPr>
          <w:rFonts w:eastAsia="Calibri" w:cstheme="minorHAnsi"/>
          <w:b/>
          <w:bCs/>
          <w:color w:val="000000" w:themeColor="text1"/>
        </w:rPr>
        <w:t>Christine Su,</w:t>
      </w:r>
      <w:r>
        <w:rPr>
          <w:rFonts w:eastAsia="Calibri" w:cstheme="minorHAnsi"/>
          <w:color w:val="000000" w:themeColor="text1"/>
        </w:rPr>
        <w:t xml:space="preserve"> Program Coordinator, UCSF Center for Tuberculosis</w:t>
      </w:r>
    </w:p>
    <w:p w14:paraId="565BE4D7" w14:textId="77777777" w:rsidR="00AC34C1" w:rsidRPr="00D62AF1" w:rsidRDefault="00AC34C1" w:rsidP="005670ED">
      <w:pPr>
        <w:tabs>
          <w:tab w:val="left" w:pos="360"/>
        </w:tabs>
        <w:spacing w:after="0" w:line="240" w:lineRule="auto"/>
        <w:ind w:left="360"/>
        <w:rPr>
          <w:rFonts w:eastAsia="Calibri" w:cstheme="minorHAnsi"/>
          <w:color w:val="000000" w:themeColor="text1"/>
        </w:rPr>
      </w:pPr>
      <w:r>
        <w:rPr>
          <w:rFonts w:eastAsia="Calibri" w:cstheme="minorHAnsi"/>
          <w:b/>
          <w:bCs/>
          <w:color w:val="000000" w:themeColor="text1"/>
        </w:rPr>
        <w:t>Thea Sigerman,</w:t>
      </w:r>
      <w:r>
        <w:rPr>
          <w:rFonts w:eastAsia="Calibri" w:cstheme="minorHAnsi"/>
          <w:color w:val="000000" w:themeColor="text1"/>
        </w:rPr>
        <w:t xml:space="preserve"> Program Coordinator, UCSF Center for Tuberculosis</w:t>
      </w:r>
    </w:p>
    <w:p w14:paraId="1E66E02D" w14:textId="77777777" w:rsidR="00CE40F3" w:rsidRPr="00D62AF1" w:rsidRDefault="00CE40F3" w:rsidP="00AC34C1">
      <w:pPr>
        <w:tabs>
          <w:tab w:val="left" w:pos="360"/>
        </w:tabs>
        <w:spacing w:after="0" w:line="240" w:lineRule="auto"/>
        <w:rPr>
          <w:rFonts w:eastAsia="Calibri" w:cstheme="minorHAnsi"/>
          <w:color w:val="000000" w:themeColor="text1"/>
        </w:rPr>
      </w:pPr>
    </w:p>
    <w:p w14:paraId="6BB2F08B" w14:textId="77777777" w:rsidR="3B284989" w:rsidRPr="00D62AF1" w:rsidRDefault="3B284989" w:rsidP="5F8BBE36">
      <w:pPr>
        <w:tabs>
          <w:tab w:val="left" w:pos="360"/>
        </w:tabs>
        <w:spacing w:after="0" w:line="240" w:lineRule="auto"/>
        <w:rPr>
          <w:rFonts w:eastAsia="Calibri" w:cstheme="minorHAnsi"/>
          <w:i/>
          <w:iCs/>
          <w:color w:val="000000" w:themeColor="text1"/>
        </w:rPr>
      </w:pPr>
      <w:r>
        <w:rPr>
          <w:rFonts w:eastAsia="Calibri" w:cstheme="minorHAnsi"/>
          <w:i/>
          <w:iCs/>
          <w:color w:val="000000" w:themeColor="text1"/>
        </w:rPr>
        <w:t>Poster Judges</w:t>
      </w:r>
    </w:p>
    <w:p w14:paraId="2093D7A3" w14:textId="77777777" w:rsidR="008933FD" w:rsidRDefault="008933FD" w:rsidP="008933FD">
      <w:pPr>
        <w:tabs>
          <w:tab w:val="left" w:pos="360"/>
        </w:tabs>
        <w:spacing w:after="0" w:line="240" w:lineRule="auto"/>
        <w:ind w:left="360"/>
        <w:rPr>
          <w:rFonts w:eastAsia="Calibri" w:cstheme="minorHAnsi"/>
          <w:color w:val="000000" w:themeColor="text1"/>
        </w:rPr>
      </w:pPr>
      <w:r w:rsidRPr="008933FD">
        <w:rPr>
          <w:rFonts w:eastAsia="Calibri" w:cstheme="minorHAnsi"/>
          <w:b/>
          <w:bCs/>
          <w:color w:val="000000" w:themeColor="text1"/>
        </w:rPr>
        <w:t>Suzanne Dufault</w:t>
      </w:r>
      <w:r w:rsidRPr="008933FD">
        <w:rPr>
          <w:rFonts w:eastAsia="Calibri" w:cstheme="minorHAnsi"/>
          <w:color w:val="000000" w:themeColor="text1"/>
        </w:rPr>
        <w:t>, PhD, Assistant Professor, Epidemiology &amp; Biostatistics, UCSF</w:t>
      </w:r>
    </w:p>
    <w:p w14:paraId="20044684" w14:textId="77777777" w:rsidR="008933FD" w:rsidRDefault="008933FD" w:rsidP="008933FD">
      <w:pPr>
        <w:tabs>
          <w:tab w:val="left" w:pos="360"/>
        </w:tabs>
        <w:spacing w:after="0" w:line="240" w:lineRule="auto"/>
        <w:ind w:left="360"/>
        <w:rPr>
          <w:rFonts w:eastAsia="Calibri" w:cstheme="minorHAnsi"/>
          <w:color w:val="000000" w:themeColor="text1"/>
        </w:rPr>
      </w:pPr>
      <w:r w:rsidRPr="008933FD">
        <w:rPr>
          <w:rFonts w:eastAsia="Calibri" w:cstheme="minorHAnsi"/>
          <w:b/>
          <w:bCs/>
          <w:color w:val="000000" w:themeColor="text1"/>
        </w:rPr>
        <w:t>Philip Hopewell</w:t>
      </w:r>
      <w:r w:rsidRPr="008933FD">
        <w:rPr>
          <w:rFonts w:eastAsia="Calibri" w:cstheme="minorHAnsi"/>
          <w:color w:val="000000" w:themeColor="text1"/>
        </w:rPr>
        <w:t>, MD, Professor, Medicine, UCSF</w:t>
      </w:r>
    </w:p>
    <w:p w14:paraId="4D5A50F3" w14:textId="77777777" w:rsidR="008933FD" w:rsidRDefault="008933FD" w:rsidP="008933FD">
      <w:pPr>
        <w:tabs>
          <w:tab w:val="left" w:pos="360"/>
        </w:tabs>
        <w:spacing w:after="0" w:line="240" w:lineRule="auto"/>
        <w:ind w:left="360"/>
        <w:rPr>
          <w:rFonts w:eastAsia="Calibri" w:cstheme="minorHAnsi"/>
          <w:color w:val="000000" w:themeColor="text1"/>
        </w:rPr>
      </w:pPr>
      <w:r w:rsidRPr="008933FD">
        <w:rPr>
          <w:rFonts w:eastAsia="Calibri" w:cstheme="minorHAnsi"/>
          <w:b/>
          <w:bCs/>
          <w:color w:val="000000" w:themeColor="text1"/>
        </w:rPr>
        <w:t>Midori Kato-Maeda</w:t>
      </w:r>
      <w:r w:rsidRPr="008933FD">
        <w:rPr>
          <w:rFonts w:eastAsia="Calibri" w:cstheme="minorHAnsi"/>
          <w:color w:val="000000" w:themeColor="text1"/>
        </w:rPr>
        <w:t>, MD, MA, Professor, Medicine, UCS</w:t>
      </w:r>
      <w:r>
        <w:rPr>
          <w:rFonts w:eastAsia="Calibri" w:cstheme="minorHAnsi"/>
          <w:color w:val="000000" w:themeColor="text1"/>
        </w:rPr>
        <w:t>F</w:t>
      </w:r>
    </w:p>
    <w:p w14:paraId="56D8EEB4" w14:textId="3ED54D73" w:rsidR="008933FD" w:rsidRPr="008933FD" w:rsidRDefault="0275DA3A" w:rsidP="008933FD">
      <w:pPr>
        <w:pStyle w:val="xmsonormal"/>
        <w:spacing w:before="0" w:beforeAutospacing="0" w:after="0" w:afterAutospacing="0"/>
        <w:ind w:firstLine="360"/>
        <w:rPr>
          <w:rFonts w:asciiTheme="minorHAnsi" w:eastAsia="Calibri" w:hAnsiTheme="minorHAnsi" w:cstheme="minorBidi"/>
          <w:color w:val="000000" w:themeColor="text1"/>
          <w:sz w:val="22"/>
          <w:szCs w:val="22"/>
        </w:rPr>
      </w:pPr>
      <w:r w:rsidRPr="008933FD">
        <w:rPr>
          <w:rFonts w:asciiTheme="minorHAnsi" w:eastAsia="Calibri" w:hAnsiTheme="minorHAnsi" w:cstheme="minorBidi"/>
          <w:b/>
          <w:bCs/>
          <w:color w:val="000000" w:themeColor="text1"/>
          <w:sz w:val="22"/>
          <w:szCs w:val="22"/>
        </w:rPr>
        <w:t>Sara Suliman</w:t>
      </w:r>
      <w:r w:rsidR="008933FD">
        <w:rPr>
          <w:rFonts w:asciiTheme="minorHAnsi" w:eastAsia="Calibri" w:hAnsiTheme="minorHAnsi" w:cstheme="minorBidi"/>
          <w:color w:val="000000" w:themeColor="text1"/>
          <w:sz w:val="22"/>
          <w:szCs w:val="22"/>
        </w:rPr>
        <w:t xml:space="preserve">, PhD, MPH, </w:t>
      </w:r>
      <w:r w:rsidR="008933FD" w:rsidRPr="008933FD">
        <w:rPr>
          <w:rFonts w:asciiTheme="minorHAnsi" w:eastAsia="Calibri" w:hAnsiTheme="minorHAnsi" w:cstheme="minorBidi"/>
          <w:color w:val="000000" w:themeColor="text1"/>
          <w:sz w:val="22"/>
          <w:szCs w:val="22"/>
        </w:rPr>
        <w:t>Assistant Professor, Experimental Medicine, UCSF</w:t>
      </w:r>
    </w:p>
    <w:p w14:paraId="4D3E3EB7" w14:textId="77777777" w:rsidR="008933FD" w:rsidRPr="00D62AF1" w:rsidRDefault="008933FD" w:rsidP="5F8BBE36">
      <w:pPr>
        <w:tabs>
          <w:tab w:val="left" w:pos="360"/>
        </w:tabs>
        <w:spacing w:after="0" w:line="240" w:lineRule="auto"/>
        <w:rPr>
          <w:rFonts w:eastAsia="Calibri" w:cstheme="minorHAnsi"/>
          <w:color w:val="000000" w:themeColor="text1"/>
        </w:rPr>
      </w:pPr>
    </w:p>
    <w:p w14:paraId="41B99FDB" w14:textId="77777777" w:rsidR="00CE40F3" w:rsidRPr="00D62AF1" w:rsidRDefault="00CE40F3" w:rsidP="00AC34C1">
      <w:pPr>
        <w:tabs>
          <w:tab w:val="left" w:pos="360"/>
        </w:tabs>
        <w:spacing w:after="0" w:line="240" w:lineRule="auto"/>
        <w:rPr>
          <w:rFonts w:eastAsia="Calibri" w:cstheme="minorHAnsi"/>
          <w:i/>
          <w:iCs/>
          <w:color w:val="000000" w:themeColor="text1"/>
        </w:rPr>
      </w:pPr>
      <w:r>
        <w:rPr>
          <w:rFonts w:eastAsia="Calibri" w:cstheme="minorHAnsi"/>
          <w:i/>
          <w:iCs/>
          <w:color w:val="000000" w:themeColor="text1"/>
        </w:rPr>
        <w:t>Volunteers</w:t>
      </w:r>
    </w:p>
    <w:p w14:paraId="09366E40" w14:textId="77777777" w:rsidR="00CC3555" w:rsidRDefault="001C0DCB" w:rsidP="00CC3555">
      <w:pPr>
        <w:tabs>
          <w:tab w:val="left" w:pos="360"/>
        </w:tabs>
        <w:spacing w:after="0" w:line="240" w:lineRule="auto"/>
        <w:ind w:left="360"/>
        <w:rPr>
          <w:rFonts w:cstheme="minorHAnsi"/>
        </w:rPr>
      </w:pPr>
      <w:r>
        <w:rPr>
          <w:rFonts w:eastAsia="Calibri" w:cstheme="minorHAnsi"/>
          <w:b/>
          <w:bCs/>
          <w:color w:val="000000" w:themeColor="text1"/>
        </w:rPr>
        <w:t xml:space="preserve">Huong Nguyen, </w:t>
      </w:r>
      <w:r>
        <w:rPr>
          <w:rFonts w:cstheme="minorHAnsi"/>
        </w:rPr>
        <w:t>Senior Public Health Microbiologist, Contra Costa County (UC Berkeley alum)</w:t>
      </w:r>
    </w:p>
    <w:p w14:paraId="083050FD" w14:textId="77777777" w:rsidR="00315126" w:rsidRDefault="00315126" w:rsidP="00CC3555">
      <w:pPr>
        <w:tabs>
          <w:tab w:val="left" w:pos="360"/>
        </w:tabs>
        <w:spacing w:after="0" w:line="240" w:lineRule="auto"/>
        <w:ind w:left="360"/>
        <w:rPr>
          <w:rFonts w:cstheme="minorHAnsi"/>
        </w:rPr>
      </w:pPr>
      <w:r>
        <w:rPr>
          <w:rFonts w:eastAsia="Calibri" w:cstheme="minorHAnsi"/>
          <w:b/>
          <w:bCs/>
          <w:color w:val="000000" w:themeColor="text1"/>
        </w:rPr>
        <w:t>Allison Gesmundo</w:t>
      </w:r>
      <w:r>
        <w:rPr>
          <w:rFonts w:eastAsia="Calibri" w:cstheme="minorHAnsi"/>
          <w:color w:val="000000" w:themeColor="text1"/>
        </w:rPr>
        <w:t>, Grants Manager, UCSF</w:t>
      </w:r>
    </w:p>
    <w:p w14:paraId="49F67330" w14:textId="77777777" w:rsidR="00AC34C1" w:rsidRPr="00D62AF1" w:rsidRDefault="00AC34C1" w:rsidP="00AC34C1">
      <w:pPr>
        <w:spacing w:after="0" w:line="240" w:lineRule="auto"/>
        <w:rPr>
          <w:rFonts w:eastAsiaTheme="majorEastAsia" w:cstheme="minorHAnsi"/>
          <w:color w:val="000000" w:themeColor="text1"/>
          <w:sz w:val="36"/>
          <w:szCs w:val="32"/>
        </w:rPr>
      </w:pPr>
      <w:r>
        <w:rPr>
          <w:rFonts w:cstheme="minorHAnsi"/>
        </w:rPr>
        <w:br w:type="page"/>
      </w:r>
    </w:p>
    <w:p w14:paraId="0EADCB3D" w14:textId="49609D27" w:rsidR="00AC34C1" w:rsidRPr="00D62AF1" w:rsidRDefault="18137F8B" w:rsidP="00782DF4">
      <w:pPr>
        <w:pStyle w:val="Heading1"/>
        <w:ind w:left="-90"/>
        <w:rPr>
          <w:rFonts w:asciiTheme="minorHAnsi" w:hAnsiTheme="minorHAnsi" w:cstheme="minorBidi"/>
        </w:rPr>
      </w:pPr>
      <w:bookmarkStart w:id="5" w:name="_Toc142657964"/>
      <w:bookmarkStart w:id="6" w:name="_Toc176784294"/>
      <w:bookmarkStart w:id="7" w:name="_Toc204260729"/>
      <w:bookmarkStart w:id="8" w:name="_Toc238729436"/>
      <w:r>
        <w:rPr>
          <w:rFonts w:asciiTheme="minorHAnsi" w:hAnsiTheme="minorHAnsi" w:cstheme="minorBidi"/>
        </w:rPr>
        <w:lastRenderedPageBreak/>
        <w:t>Symposium program</w:t>
      </w:r>
      <w:bookmarkEnd w:id="5"/>
      <w:bookmarkEnd w:id="6"/>
      <w:bookmarkEnd w:id="7"/>
      <w:bookmarkEnd w:id="8"/>
    </w:p>
    <w:p w14:paraId="3C5A8B9F" w14:textId="77777777" w:rsidR="00AC34C1" w:rsidRPr="00D62AF1" w:rsidRDefault="00AC34C1" w:rsidP="00AC34C1">
      <w:pPr>
        <w:spacing w:after="0" w:line="240" w:lineRule="auto"/>
        <w:rPr>
          <w:rFonts w:eastAsia="Calibri" w:cstheme="minorHAnsi"/>
          <w:i/>
          <w:color w:val="000000" w:themeColor="text1"/>
          <w:sz w:val="21"/>
          <w:szCs w:val="21"/>
        </w:rPr>
      </w:pPr>
    </w:p>
    <w:bookmarkEnd w:id="2"/>
    <w:bookmarkEnd w:id="3"/>
    <w:p w14:paraId="5DF5A349" w14:textId="77777777" w:rsidR="00782DF4" w:rsidRDefault="00782DF4" w:rsidP="00782DF4">
      <w:pPr>
        <w:pStyle w:val="LargeHeader"/>
        <w:spacing w:after="240"/>
        <w:ind w:right="-374"/>
        <w:rPr>
          <w:rFonts w:ascii="Arial" w:hAnsi="Arial" w:cs="Arial"/>
          <w:b/>
          <w:bCs/>
          <w:color w:val="000000" w:themeColor="text1"/>
        </w:rPr>
      </w:pPr>
      <w:r>
        <w:rPr>
          <w:rFonts w:ascii="Arial" w:hAnsi="Arial" w:cs="Arial"/>
          <w:b/>
          <w:bCs/>
          <w:noProof/>
          <w:color w:val="000000" w:themeColor="text1"/>
        </w:rPr>
        <w:drawing>
          <wp:inline distT="0" distB="0" distL="0" distR="0" wp14:anchorId="792145D9" wp14:editId="792B1921">
            <wp:extent cx="3267116" cy="1026160"/>
            <wp:effectExtent l="0" t="0" r="0" b="2540"/>
            <wp:docPr id="1735105674"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105674" name="Picture 2">
                      <a:extLst>
                        <a:ext uri="{C183D7F6-B498-43B3-948B-1728B52AA6E4}">
                          <adec:decorative xmlns:adec="http://schemas.microsoft.com/office/drawing/2017/decorative" val="1"/>
                        </a:ext>
                      </a:extLst>
                    </pic:cNvPr>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290751" cy="1033584"/>
                    </a:xfrm>
                    <a:prstGeom prst="rect">
                      <a:avLst/>
                    </a:prstGeom>
                  </pic:spPr>
                </pic:pic>
              </a:graphicData>
            </a:graphic>
          </wp:inline>
        </w:drawing>
      </w:r>
    </w:p>
    <w:p w14:paraId="33861A03" w14:textId="77777777" w:rsidR="00782DF4" w:rsidRDefault="00782DF4" w:rsidP="00782DF4">
      <w:pPr>
        <w:pStyle w:val="LargeHeader"/>
        <w:spacing w:after="0"/>
        <w:ind w:right="-374"/>
        <w:rPr>
          <w:sz w:val="10"/>
          <w:szCs w:val="10"/>
        </w:rPr>
      </w:pPr>
      <w:r>
        <w:rPr>
          <w:rFonts w:ascii="Arial" w:hAnsi="Arial" w:cs="Arial"/>
          <w:b/>
          <w:bCs/>
          <w:color w:val="000000" w:themeColor="text1"/>
        </w:rPr>
        <w:t>Thursday, October 8, 2026</w:t>
      </w:r>
      <w:r>
        <w:rPr>
          <w:rFonts w:ascii="Arial" w:hAnsi="Arial" w:cs="Arial"/>
          <w:b/>
          <w:bCs/>
          <w:color w:val="000000" w:themeColor="text1"/>
        </w:rPr>
        <w:br/>
        <w:t>9:00am – 6:00pm</w:t>
      </w:r>
    </w:p>
    <w:p w14:paraId="3AA0AD8C" w14:textId="77777777" w:rsidR="00782DF4" w:rsidRPr="00D74CAA" w:rsidRDefault="00782DF4" w:rsidP="00782DF4">
      <w:pPr>
        <w:pStyle w:val="LargeHeader"/>
        <w:spacing w:after="0"/>
        <w:ind w:right="-374"/>
        <w:rPr>
          <w:rFonts w:ascii="Arial" w:hAnsi="Arial" w:cs="Arial"/>
          <w:b/>
          <w:bCs/>
          <w:color w:val="000000" w:themeColor="text1"/>
          <w:sz w:val="20"/>
          <w:szCs w:val="20"/>
        </w:rPr>
      </w:pPr>
    </w:p>
    <w:p w14:paraId="412EA023" w14:textId="77777777" w:rsidR="00782DF4" w:rsidRPr="0012528D" w:rsidRDefault="00782DF4" w:rsidP="00782DF4">
      <w:pPr>
        <w:pStyle w:val="Subhead"/>
        <w:spacing w:before="0" w:after="0" w:line="240" w:lineRule="auto"/>
        <w:rPr>
          <w:rFonts w:ascii="Arial" w:hAnsi="Arial" w:cs="Arial"/>
          <w:color w:val="000000" w:themeColor="text1"/>
          <w:sz w:val="24"/>
          <w:szCs w:val="24"/>
        </w:rPr>
      </w:pPr>
      <w:r>
        <w:rPr>
          <w:rFonts w:ascii="Arial" w:hAnsi="Arial" w:cs="Arial"/>
          <w:color w:val="000000" w:themeColor="text1"/>
          <w:sz w:val="24"/>
          <w:szCs w:val="24"/>
        </w:rPr>
        <w:t>Fisher Banquet Room, Mission Bay. University of California, San Francisco</w:t>
      </w:r>
      <w:r>
        <w:rPr>
          <w:rFonts w:ascii="Arial" w:hAnsi="Arial" w:cs="Arial"/>
          <w:color w:val="000000" w:themeColor="text1"/>
          <w:sz w:val="24"/>
          <w:szCs w:val="24"/>
        </w:rPr>
        <w:br/>
        <w:t xml:space="preserve">Hosted by the UCSF </w:t>
      </w:r>
      <w:proofErr w:type="spellStart"/>
      <w:r>
        <w:rPr>
          <w:rFonts w:ascii="Arial" w:hAnsi="Arial" w:cs="Arial"/>
          <w:color w:val="000000" w:themeColor="text1"/>
          <w:sz w:val="24"/>
          <w:szCs w:val="24"/>
        </w:rPr>
        <w:t>Center</w:t>
      </w:r>
      <w:proofErr w:type="spellEnd"/>
      <w:r>
        <w:rPr>
          <w:rFonts w:ascii="Arial" w:hAnsi="Arial" w:cs="Arial"/>
          <w:color w:val="000000" w:themeColor="text1"/>
          <w:sz w:val="24"/>
          <w:szCs w:val="24"/>
        </w:rPr>
        <w:t xml:space="preserve"> for Tuberculosis</w:t>
      </w:r>
    </w:p>
    <w:p w14:paraId="34C2351C" w14:textId="77777777" w:rsidR="00782DF4" w:rsidRPr="006B173D" w:rsidRDefault="00782DF4" w:rsidP="00782DF4">
      <w:pPr>
        <w:spacing w:after="0" w:line="240" w:lineRule="auto"/>
        <w:rPr>
          <w:rFonts w:ascii="Arial" w:eastAsia="Times New Roman" w:hAnsi="Arial" w:cs="Arial"/>
          <w:b/>
          <w:bCs/>
          <w:color w:val="111111"/>
          <w:sz w:val="20"/>
          <w:szCs w:val="20"/>
        </w:rPr>
      </w:pPr>
    </w:p>
    <w:tbl>
      <w:tblPr>
        <w:tblW w:w="10008" w:type="dxa"/>
        <w:tblInd w:w="-118" w:type="dxa"/>
        <w:tblBorders>
          <w:top w:val="nil"/>
          <w:left w:val="nil"/>
          <w:right w:val="nil"/>
        </w:tblBorders>
        <w:tblLayout w:type="fixed"/>
        <w:tblCellMar>
          <w:top w:w="72" w:type="dxa"/>
          <w:left w:w="115" w:type="dxa"/>
          <w:bottom w:w="72" w:type="dxa"/>
          <w:right w:w="115" w:type="dxa"/>
        </w:tblCellMar>
        <w:tblLook w:val="0000" w:firstRow="0" w:lastRow="0" w:firstColumn="0" w:lastColumn="0" w:noHBand="0" w:noVBand="0"/>
      </w:tblPr>
      <w:tblGrid>
        <w:gridCol w:w="1998"/>
        <w:gridCol w:w="4050"/>
        <w:gridCol w:w="3960"/>
      </w:tblGrid>
      <w:tr w:rsidR="00782DF4" w:rsidRPr="00A63B7C" w14:paraId="4F7EE9A7" w14:textId="77777777" w:rsidTr="00C148F1">
        <w:trPr>
          <w:cantSplit/>
          <w:tblHeader/>
        </w:trPr>
        <w:tc>
          <w:tcPr>
            <w:tcW w:w="1998" w:type="dxa"/>
            <w:tcBorders>
              <w:top w:val="single" w:sz="8" w:space="0" w:color="9A9A9A"/>
              <w:left w:val="single" w:sz="8" w:space="0" w:color="9A9A9A"/>
              <w:bottom w:val="single" w:sz="8" w:space="0" w:color="9A9A9A"/>
              <w:right w:val="single" w:sz="8" w:space="0" w:color="9A9A9A"/>
            </w:tcBorders>
            <w:shd w:val="clear" w:color="auto" w:fill="F2F2F2" w:themeFill="background1" w:themeFillShade="F2"/>
            <w:tcMar>
              <w:top w:w="100" w:type="nil"/>
              <w:left w:w="20" w:type="nil"/>
              <w:bottom w:w="20" w:type="nil"/>
              <w:right w:w="100" w:type="nil"/>
            </w:tcMar>
          </w:tcPr>
          <w:p w14:paraId="197C3736" w14:textId="77777777" w:rsidR="00782DF4" w:rsidRPr="0068633A" w:rsidRDefault="00782DF4" w:rsidP="00C148F1">
            <w:pPr>
              <w:pStyle w:val="Mainbodycopy"/>
              <w:spacing w:line="240" w:lineRule="auto"/>
              <w:rPr>
                <w:rFonts w:cs="Arial"/>
                <w:b/>
                <w:bCs/>
                <w:color w:val="000000" w:themeColor="text1"/>
              </w:rPr>
            </w:pPr>
            <w:r>
              <w:rPr>
                <w:rFonts w:cs="Arial"/>
                <w:b/>
                <w:bCs/>
                <w:color w:val="000000" w:themeColor="text1"/>
              </w:rPr>
              <w:t>Time</w:t>
            </w:r>
          </w:p>
        </w:tc>
        <w:tc>
          <w:tcPr>
            <w:tcW w:w="4050" w:type="dxa"/>
            <w:tcBorders>
              <w:top w:val="single" w:sz="8" w:space="0" w:color="9A9A9A"/>
              <w:left w:val="single" w:sz="8" w:space="0" w:color="9A9A9A"/>
              <w:bottom w:val="single" w:sz="8" w:space="0" w:color="9A9A9A"/>
              <w:right w:val="single" w:sz="8" w:space="0" w:color="9A9A9A"/>
            </w:tcBorders>
            <w:shd w:val="clear" w:color="auto" w:fill="F2F2F2" w:themeFill="background1" w:themeFillShade="F2"/>
            <w:tcMar>
              <w:top w:w="100" w:type="nil"/>
              <w:left w:w="20" w:type="nil"/>
              <w:bottom w:w="20" w:type="nil"/>
              <w:right w:w="100" w:type="nil"/>
            </w:tcMar>
          </w:tcPr>
          <w:p w14:paraId="4D5EC365" w14:textId="77777777" w:rsidR="00782DF4" w:rsidRPr="0068633A" w:rsidRDefault="00782DF4" w:rsidP="00C148F1">
            <w:pPr>
              <w:pStyle w:val="Mainbodycopy"/>
              <w:spacing w:line="240" w:lineRule="auto"/>
              <w:rPr>
                <w:rFonts w:cs="Arial"/>
                <w:b/>
                <w:bCs/>
                <w:color w:val="000000" w:themeColor="text1"/>
              </w:rPr>
            </w:pPr>
            <w:r>
              <w:rPr>
                <w:rFonts w:cs="Arial"/>
                <w:b/>
                <w:bCs/>
                <w:color w:val="000000" w:themeColor="text1"/>
              </w:rPr>
              <w:t>Presenter(s)</w:t>
            </w:r>
          </w:p>
        </w:tc>
        <w:tc>
          <w:tcPr>
            <w:tcW w:w="3960" w:type="dxa"/>
            <w:tcBorders>
              <w:top w:val="single" w:sz="8" w:space="0" w:color="9A9A9A"/>
              <w:left w:val="single" w:sz="8" w:space="0" w:color="9A9A9A"/>
              <w:bottom w:val="single" w:sz="8" w:space="0" w:color="9A9A9A"/>
              <w:right w:val="single" w:sz="8" w:space="0" w:color="9A9A9A"/>
            </w:tcBorders>
            <w:shd w:val="clear" w:color="auto" w:fill="F2F2F2" w:themeFill="background1" w:themeFillShade="F2"/>
            <w:tcMar>
              <w:top w:w="100" w:type="nil"/>
              <w:left w:w="20" w:type="nil"/>
              <w:bottom w:w="20" w:type="nil"/>
              <w:right w:w="100" w:type="nil"/>
            </w:tcMar>
          </w:tcPr>
          <w:p w14:paraId="477ADD0C" w14:textId="77777777" w:rsidR="00782DF4" w:rsidRPr="0068633A" w:rsidRDefault="00782DF4" w:rsidP="00C148F1">
            <w:pPr>
              <w:pStyle w:val="Mainbodycopy"/>
              <w:spacing w:line="240" w:lineRule="auto"/>
              <w:rPr>
                <w:rFonts w:cs="Arial"/>
                <w:b/>
                <w:bCs/>
                <w:color w:val="000000" w:themeColor="text1"/>
              </w:rPr>
            </w:pPr>
            <w:r>
              <w:rPr>
                <w:rFonts w:cs="Arial"/>
                <w:b/>
                <w:bCs/>
                <w:color w:val="000000" w:themeColor="text1"/>
              </w:rPr>
              <w:t>Title</w:t>
            </w:r>
          </w:p>
        </w:tc>
      </w:tr>
      <w:tr w:rsidR="00782DF4" w:rsidRPr="00475A08" w14:paraId="7694DB07" w14:textId="77777777" w:rsidTr="00C148F1">
        <w:trPr>
          <w:cantSplit/>
        </w:trPr>
        <w:tc>
          <w:tcPr>
            <w:tcW w:w="1998"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52D692C5" w14:textId="77777777" w:rsidR="00782DF4" w:rsidRPr="000E3EDA" w:rsidRDefault="00782DF4" w:rsidP="00C148F1">
            <w:pPr>
              <w:pStyle w:val="Mainbodycopy"/>
              <w:spacing w:line="240" w:lineRule="auto"/>
              <w:rPr>
                <w:rFonts w:cs="Arial"/>
                <w:color w:val="000000" w:themeColor="text1"/>
              </w:rPr>
            </w:pPr>
            <w:r w:rsidRPr="000E3EDA">
              <w:rPr>
                <w:rFonts w:eastAsia="Calibri" w:cs="Arial"/>
                <w:color w:val="000000" w:themeColor="text1"/>
              </w:rPr>
              <w:t>8:00-9:00am</w:t>
            </w:r>
          </w:p>
        </w:tc>
        <w:tc>
          <w:tcPr>
            <w:tcW w:w="8010" w:type="dxa"/>
            <w:gridSpan w:val="2"/>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0CC96703" w14:textId="77777777" w:rsidR="00782DF4" w:rsidRPr="0068633A" w:rsidRDefault="00782DF4" w:rsidP="00C148F1">
            <w:pPr>
              <w:spacing w:after="0" w:line="240" w:lineRule="auto"/>
              <w:rPr>
                <w:rFonts w:ascii="Arial" w:eastAsia="Calibri" w:hAnsi="Arial" w:cs="Arial"/>
                <w:b/>
                <w:bCs/>
                <w:color w:val="000000" w:themeColor="text1"/>
                <w:sz w:val="20"/>
                <w:szCs w:val="20"/>
              </w:rPr>
            </w:pPr>
            <w:r>
              <w:rPr>
                <w:rFonts w:ascii="Arial" w:eastAsia="Calibri" w:hAnsi="Arial" w:cs="Arial"/>
                <w:b/>
                <w:bCs/>
                <w:color w:val="000000" w:themeColor="text1"/>
                <w:sz w:val="20"/>
                <w:szCs w:val="20"/>
              </w:rPr>
              <w:t>Registration check-in, poster set-up</w:t>
            </w:r>
          </w:p>
          <w:p w14:paraId="25819098" w14:textId="77777777" w:rsidR="00782DF4" w:rsidRPr="0068633A" w:rsidRDefault="00782DF4" w:rsidP="00C148F1">
            <w:pPr>
              <w:pStyle w:val="Mainbodycopy"/>
              <w:spacing w:line="240" w:lineRule="auto"/>
              <w:rPr>
                <w:rFonts w:cs="Arial"/>
                <w:color w:val="000000" w:themeColor="text1"/>
              </w:rPr>
            </w:pPr>
            <w:r>
              <w:rPr>
                <w:rFonts w:eastAsia="Calibri" w:cs="Arial"/>
                <w:b/>
                <w:bCs/>
                <w:color w:val="000000" w:themeColor="text1"/>
              </w:rPr>
              <w:t>Continental breakfast &amp; coffee/tea service</w:t>
            </w:r>
          </w:p>
        </w:tc>
      </w:tr>
      <w:tr w:rsidR="00782DF4" w:rsidRPr="00475A08" w14:paraId="53711D3A" w14:textId="77777777" w:rsidTr="00C148F1">
        <w:tblPrEx>
          <w:tblBorders>
            <w:top w:val="none" w:sz="0" w:space="0" w:color="auto"/>
          </w:tblBorders>
        </w:tblPrEx>
        <w:trPr>
          <w:cantSplit/>
        </w:trPr>
        <w:tc>
          <w:tcPr>
            <w:tcW w:w="1998"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47A38425" w14:textId="77777777" w:rsidR="00782DF4" w:rsidRPr="0068633A" w:rsidRDefault="00782DF4" w:rsidP="00C148F1">
            <w:pPr>
              <w:pStyle w:val="Mainbodycopy"/>
              <w:spacing w:line="240" w:lineRule="auto"/>
              <w:rPr>
                <w:rFonts w:cs="Arial"/>
                <w:color w:val="000000" w:themeColor="text1"/>
              </w:rPr>
            </w:pPr>
            <w:r>
              <w:rPr>
                <w:rFonts w:eastAsia="Calibri" w:cs="Arial"/>
                <w:color w:val="000000" w:themeColor="text1"/>
              </w:rPr>
              <w:t>9:00-9:25am</w:t>
            </w:r>
          </w:p>
        </w:tc>
        <w:tc>
          <w:tcPr>
            <w:tcW w:w="405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671148CB" w14:textId="77777777" w:rsidR="00782DF4" w:rsidRDefault="00782DF4" w:rsidP="00C148F1">
            <w:pPr>
              <w:spacing w:after="0" w:line="240" w:lineRule="auto"/>
              <w:rPr>
                <w:rFonts w:ascii="Arial" w:eastAsia="Calibri" w:hAnsi="Arial" w:cs="Arial"/>
                <w:color w:val="595959"/>
                <w:sz w:val="18"/>
                <w:szCs w:val="20"/>
              </w:rPr>
            </w:pPr>
            <w:r>
              <w:rPr>
                <w:rFonts w:ascii="Arial" w:eastAsia="Calibri" w:hAnsi="Arial" w:cs="Arial"/>
                <w:b/>
                <w:bCs/>
                <w:color w:val="000000" w:themeColor="text1"/>
                <w:sz w:val="20"/>
                <w:szCs w:val="20"/>
              </w:rPr>
              <w:t>Payam Nahid</w:t>
            </w:r>
            <w:r>
              <w:rPr>
                <w:rFonts w:ascii="Arial" w:eastAsia="Calibri" w:hAnsi="Arial" w:cs="Arial"/>
                <w:bCs/>
                <w:color w:val="000000" w:themeColor="text1"/>
                <w:sz w:val="20"/>
                <w:szCs w:val="20"/>
              </w:rPr>
              <w:t>, MD, MPH</w:t>
            </w:r>
            <w:r>
              <w:rPr>
                <w:rFonts w:ascii="Arial" w:eastAsia="Calibri" w:hAnsi="Arial" w:cs="Arial"/>
                <w:color w:val="595959"/>
                <w:sz w:val="18"/>
                <w:szCs w:val="20"/>
              </w:rPr>
              <w:br/>
              <w:t>University of California, San Francisco</w:t>
            </w:r>
          </w:p>
          <w:p w14:paraId="1D228D48" w14:textId="77777777" w:rsidR="00782DF4" w:rsidRPr="0068633A" w:rsidRDefault="00782DF4" w:rsidP="00C148F1">
            <w:pPr>
              <w:spacing w:after="0" w:line="240" w:lineRule="auto"/>
              <w:rPr>
                <w:rFonts w:ascii="Arial" w:eastAsia="Calibri" w:hAnsi="Arial" w:cs="Arial"/>
                <w:b/>
                <w:bCs/>
                <w:color w:val="000000" w:themeColor="text1"/>
                <w:sz w:val="20"/>
                <w:szCs w:val="20"/>
              </w:rPr>
            </w:pPr>
            <w:r>
              <w:rPr>
                <w:rFonts w:ascii="Arial" w:eastAsia="Calibri" w:hAnsi="Arial" w:cs="Arial"/>
                <w:color w:val="595959"/>
                <w:sz w:val="18"/>
                <w:szCs w:val="20"/>
              </w:rPr>
              <w:t>Executive Director, Institute for Global Health Sciences</w:t>
            </w:r>
          </w:p>
          <w:p w14:paraId="5192CE75" w14:textId="77777777" w:rsidR="00782DF4" w:rsidRPr="0068633A" w:rsidRDefault="00782DF4" w:rsidP="00C148F1">
            <w:pPr>
              <w:spacing w:after="0" w:line="240" w:lineRule="auto"/>
              <w:rPr>
                <w:rFonts w:ascii="Arial" w:eastAsia="Calibri" w:hAnsi="Arial" w:cs="Arial"/>
                <w:b/>
                <w:bCs/>
                <w:color w:val="000000" w:themeColor="text1"/>
                <w:sz w:val="20"/>
                <w:szCs w:val="20"/>
              </w:rPr>
            </w:pPr>
          </w:p>
          <w:p w14:paraId="08074D67" w14:textId="77777777" w:rsidR="00782DF4" w:rsidRDefault="00782DF4" w:rsidP="00C148F1">
            <w:pPr>
              <w:spacing w:after="0" w:line="240" w:lineRule="auto"/>
              <w:rPr>
                <w:rFonts w:ascii="Arial" w:eastAsia="Calibri" w:hAnsi="Arial" w:cs="Arial"/>
                <w:color w:val="000000" w:themeColor="text1"/>
                <w:sz w:val="20"/>
                <w:szCs w:val="20"/>
              </w:rPr>
            </w:pPr>
            <w:r>
              <w:rPr>
                <w:rFonts w:ascii="Arial" w:eastAsia="Calibri" w:hAnsi="Arial" w:cs="Arial"/>
                <w:b/>
                <w:bCs/>
                <w:color w:val="000000" w:themeColor="text1"/>
                <w:sz w:val="20"/>
                <w:szCs w:val="20"/>
              </w:rPr>
              <w:t>Bennett Penn</w:t>
            </w:r>
            <w:r>
              <w:rPr>
                <w:rFonts w:ascii="Arial" w:eastAsia="Calibri" w:hAnsi="Arial" w:cs="Arial"/>
                <w:color w:val="000000" w:themeColor="text1"/>
                <w:sz w:val="20"/>
                <w:szCs w:val="20"/>
              </w:rPr>
              <w:t>, MD, MPH</w:t>
            </w:r>
          </w:p>
          <w:p w14:paraId="1B31154D" w14:textId="77777777" w:rsidR="00782DF4" w:rsidRPr="00156278" w:rsidRDefault="00782DF4" w:rsidP="00C148F1">
            <w:pPr>
              <w:spacing w:after="0" w:line="240" w:lineRule="auto"/>
              <w:rPr>
                <w:rFonts w:ascii="Arial" w:eastAsia="Calibri" w:hAnsi="Arial" w:cs="Arial"/>
                <w:color w:val="595959"/>
                <w:sz w:val="18"/>
                <w:szCs w:val="20"/>
              </w:rPr>
            </w:pPr>
            <w:r w:rsidRPr="00156278">
              <w:rPr>
                <w:rFonts w:ascii="Arial" w:eastAsia="Calibri" w:hAnsi="Arial" w:cs="Arial"/>
                <w:color w:val="595959"/>
                <w:sz w:val="18"/>
                <w:szCs w:val="20"/>
              </w:rPr>
              <w:t>University of California, Davis</w:t>
            </w:r>
          </w:p>
          <w:p w14:paraId="450AFD3E" w14:textId="77777777" w:rsidR="00782DF4" w:rsidRPr="0068633A" w:rsidRDefault="00782DF4" w:rsidP="00C148F1">
            <w:pPr>
              <w:spacing w:after="0" w:line="240" w:lineRule="auto"/>
              <w:rPr>
                <w:rFonts w:ascii="Arial" w:eastAsia="Calibri" w:hAnsi="Arial" w:cs="Arial"/>
                <w:color w:val="000000" w:themeColor="text1"/>
                <w:sz w:val="20"/>
                <w:szCs w:val="20"/>
              </w:rPr>
            </w:pPr>
            <w:r w:rsidRPr="00156278">
              <w:rPr>
                <w:rFonts w:ascii="Arial" w:eastAsia="Calibri" w:hAnsi="Arial" w:cs="Arial"/>
                <w:color w:val="595959"/>
                <w:sz w:val="18"/>
                <w:szCs w:val="20"/>
              </w:rPr>
              <w:t>Assistant Professor, School of Medicine</w:t>
            </w:r>
          </w:p>
        </w:tc>
        <w:tc>
          <w:tcPr>
            <w:tcW w:w="396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51A21E4C" w14:textId="77777777" w:rsidR="00782DF4" w:rsidRPr="0068633A" w:rsidRDefault="00782DF4" w:rsidP="00C148F1">
            <w:pPr>
              <w:rPr>
                <w:rFonts w:ascii="Arial" w:eastAsia="Calibri" w:hAnsi="Arial" w:cs="Arial"/>
                <w:color w:val="000000" w:themeColor="text1"/>
                <w:sz w:val="20"/>
                <w:szCs w:val="20"/>
              </w:rPr>
            </w:pPr>
            <w:r w:rsidRPr="006F72F4">
              <w:rPr>
                <w:rFonts w:ascii="Arial" w:eastAsia="Calibri" w:hAnsi="Arial" w:cs="Arial"/>
                <w:b/>
                <w:bCs/>
                <w:color w:val="002060"/>
                <w:sz w:val="20"/>
                <w:szCs w:val="20"/>
              </w:rPr>
              <w:t>Welcome Remarks</w:t>
            </w:r>
          </w:p>
        </w:tc>
      </w:tr>
      <w:tr w:rsidR="00782DF4" w:rsidRPr="00475A08" w14:paraId="0524893D" w14:textId="77777777" w:rsidTr="00C148F1">
        <w:tblPrEx>
          <w:tblBorders>
            <w:top w:val="none" w:sz="0" w:space="0" w:color="auto"/>
          </w:tblBorders>
        </w:tblPrEx>
        <w:trPr>
          <w:cantSplit/>
        </w:trPr>
        <w:tc>
          <w:tcPr>
            <w:tcW w:w="1998"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357B2F2F" w14:textId="77777777" w:rsidR="00782DF4" w:rsidRPr="0068633A" w:rsidRDefault="00782DF4" w:rsidP="00C148F1">
            <w:pPr>
              <w:pStyle w:val="Mainbodycopy"/>
              <w:spacing w:line="240" w:lineRule="auto"/>
              <w:rPr>
                <w:rFonts w:cs="Arial"/>
                <w:color w:val="000000" w:themeColor="text1"/>
              </w:rPr>
            </w:pPr>
            <w:r>
              <w:rPr>
                <w:rFonts w:eastAsia="Calibri" w:cs="Arial"/>
                <w:color w:val="000000" w:themeColor="text1"/>
              </w:rPr>
              <w:t>9:25-9:30am</w:t>
            </w:r>
          </w:p>
        </w:tc>
        <w:tc>
          <w:tcPr>
            <w:tcW w:w="405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51CDF43E" w14:textId="77777777" w:rsidR="00782DF4" w:rsidRDefault="00782DF4" w:rsidP="00C148F1">
            <w:pPr>
              <w:spacing w:after="0" w:line="240" w:lineRule="auto"/>
              <w:rPr>
                <w:rFonts w:ascii="Arial" w:eastAsia="Calibri" w:hAnsi="Arial" w:cs="Arial"/>
                <w:color w:val="595959"/>
                <w:sz w:val="18"/>
                <w:szCs w:val="20"/>
              </w:rPr>
            </w:pPr>
            <w:r>
              <w:rPr>
                <w:rFonts w:eastAsia="Calibri" w:cs="Arial"/>
                <w:b/>
                <w:bCs/>
                <w:color w:val="000000" w:themeColor="text1"/>
              </w:rPr>
              <w:t>Payam Nahid</w:t>
            </w:r>
            <w:r>
              <w:rPr>
                <w:rFonts w:eastAsia="Calibri" w:cs="Arial"/>
                <w:bCs/>
                <w:color w:val="000000" w:themeColor="text1"/>
              </w:rPr>
              <w:t>, MD, MPH</w:t>
            </w:r>
            <w:r>
              <w:rPr>
                <w:rFonts w:eastAsia="Calibri" w:cs="Arial"/>
                <w:color w:val="595959"/>
                <w:sz w:val="18"/>
              </w:rPr>
              <w:br/>
            </w:r>
            <w:r>
              <w:rPr>
                <w:rFonts w:ascii="Arial" w:eastAsia="Calibri" w:hAnsi="Arial" w:cs="Arial"/>
                <w:color w:val="595959"/>
                <w:sz w:val="18"/>
                <w:szCs w:val="20"/>
              </w:rPr>
              <w:t>University of California, San Francisco</w:t>
            </w:r>
          </w:p>
          <w:p w14:paraId="651FC404" w14:textId="77777777" w:rsidR="00782DF4" w:rsidRPr="00156278" w:rsidRDefault="00782DF4" w:rsidP="00C148F1">
            <w:pPr>
              <w:spacing w:after="0" w:line="240" w:lineRule="auto"/>
              <w:rPr>
                <w:rFonts w:ascii="Arial" w:eastAsia="Calibri" w:hAnsi="Arial" w:cs="Arial"/>
                <w:b/>
                <w:bCs/>
                <w:color w:val="000000" w:themeColor="text1"/>
                <w:sz w:val="20"/>
                <w:szCs w:val="20"/>
              </w:rPr>
            </w:pPr>
            <w:r>
              <w:rPr>
                <w:rFonts w:ascii="Arial" w:eastAsia="Calibri" w:hAnsi="Arial" w:cs="Arial"/>
                <w:color w:val="595959"/>
                <w:sz w:val="18"/>
                <w:szCs w:val="20"/>
              </w:rPr>
              <w:t>Executive Director, Institute for Global Health Sciences</w:t>
            </w:r>
          </w:p>
        </w:tc>
        <w:tc>
          <w:tcPr>
            <w:tcW w:w="396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0EAFB0F6" w14:textId="77777777" w:rsidR="00782DF4" w:rsidRPr="0068633A" w:rsidRDefault="00782DF4" w:rsidP="00C148F1">
            <w:pPr>
              <w:pStyle w:val="Mainbodycopy"/>
              <w:spacing w:line="240" w:lineRule="auto"/>
              <w:rPr>
                <w:rFonts w:cs="Arial"/>
                <w:color w:val="000000" w:themeColor="text1"/>
              </w:rPr>
            </w:pPr>
            <w:r w:rsidRPr="006F72F4">
              <w:rPr>
                <w:rFonts w:eastAsia="Calibri" w:cs="Arial"/>
                <w:b/>
                <w:bCs/>
                <w:color w:val="002060"/>
              </w:rPr>
              <w:t>Keynote Introduction</w:t>
            </w:r>
          </w:p>
        </w:tc>
      </w:tr>
      <w:tr w:rsidR="00782DF4" w:rsidRPr="00475A08" w14:paraId="648D0E83" w14:textId="77777777" w:rsidTr="00C148F1">
        <w:tblPrEx>
          <w:tblBorders>
            <w:top w:val="none" w:sz="0" w:space="0" w:color="auto"/>
          </w:tblBorders>
        </w:tblPrEx>
        <w:trPr>
          <w:cantSplit/>
        </w:trPr>
        <w:tc>
          <w:tcPr>
            <w:tcW w:w="1998"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65B1A1A7" w14:textId="77777777" w:rsidR="00782DF4" w:rsidRPr="0068633A" w:rsidRDefault="00782DF4" w:rsidP="00C148F1">
            <w:pPr>
              <w:pStyle w:val="Mainbodycopy"/>
              <w:spacing w:line="240" w:lineRule="auto"/>
              <w:rPr>
                <w:rFonts w:cs="Arial"/>
                <w:color w:val="000000" w:themeColor="text1"/>
              </w:rPr>
            </w:pPr>
            <w:r>
              <w:rPr>
                <w:rFonts w:eastAsia="Calibri" w:cs="Arial"/>
                <w:color w:val="000000" w:themeColor="text1"/>
              </w:rPr>
              <w:t>9:30-10:15am</w:t>
            </w:r>
          </w:p>
        </w:tc>
        <w:tc>
          <w:tcPr>
            <w:tcW w:w="405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6A938238" w14:textId="77777777" w:rsidR="00782DF4" w:rsidRPr="0068633A" w:rsidRDefault="00782DF4" w:rsidP="00C148F1">
            <w:pPr>
              <w:pStyle w:val="Mainbodycopy"/>
              <w:spacing w:line="240" w:lineRule="auto"/>
              <w:rPr>
                <w:rFonts w:cs="Arial"/>
                <w:b/>
                <w:bCs/>
                <w:color w:val="000000" w:themeColor="text1"/>
              </w:rPr>
            </w:pPr>
            <w:r>
              <w:rPr>
                <w:rFonts w:cs="Arial"/>
                <w:b/>
                <w:bCs/>
                <w:color w:val="000000" w:themeColor="text1"/>
              </w:rPr>
              <w:t>Susan Dorman</w:t>
            </w:r>
            <w:r>
              <w:rPr>
                <w:rFonts w:cs="Arial"/>
                <w:bCs/>
                <w:color w:val="000000" w:themeColor="text1"/>
              </w:rPr>
              <w:t>, MD</w:t>
            </w:r>
          </w:p>
          <w:p w14:paraId="37F79688" w14:textId="77777777" w:rsidR="00782DF4" w:rsidRDefault="00782DF4" w:rsidP="00C148F1">
            <w:pPr>
              <w:pStyle w:val="Mainbodycopy"/>
              <w:spacing w:line="240" w:lineRule="auto"/>
              <w:rPr>
                <w:rFonts w:eastAsia="Calibri" w:cs="Arial"/>
                <w:color w:val="595959"/>
                <w:sz w:val="18"/>
              </w:rPr>
            </w:pPr>
            <w:r>
              <w:rPr>
                <w:rFonts w:eastAsia="Calibri" w:cs="Arial"/>
                <w:color w:val="595959"/>
                <w:sz w:val="18"/>
              </w:rPr>
              <w:t xml:space="preserve">Medical University of South Carolina </w:t>
            </w:r>
          </w:p>
          <w:p w14:paraId="3056A05F" w14:textId="77777777" w:rsidR="00782DF4" w:rsidRPr="0068633A" w:rsidRDefault="00782DF4" w:rsidP="00C148F1">
            <w:pPr>
              <w:pStyle w:val="Mainbodycopy"/>
              <w:spacing w:line="240" w:lineRule="auto"/>
              <w:rPr>
                <w:rFonts w:eastAsia="Calibri" w:cs="Arial"/>
                <w:color w:val="000000" w:themeColor="text1"/>
              </w:rPr>
            </w:pPr>
            <w:r>
              <w:rPr>
                <w:rFonts w:eastAsia="Calibri" w:cs="Arial"/>
                <w:color w:val="595959"/>
                <w:sz w:val="18"/>
              </w:rPr>
              <w:t>Professor of Medicine &amp; Faculty Director</w:t>
            </w:r>
          </w:p>
          <w:p w14:paraId="06532280" w14:textId="77777777" w:rsidR="00782DF4" w:rsidRPr="0068633A" w:rsidRDefault="00782DF4" w:rsidP="00C148F1">
            <w:pPr>
              <w:pStyle w:val="Mainbodycopy"/>
              <w:spacing w:line="240" w:lineRule="auto"/>
              <w:rPr>
                <w:rFonts w:eastAsia="Calibri" w:cs="Arial"/>
                <w:color w:val="000000" w:themeColor="text1"/>
              </w:rPr>
            </w:pPr>
            <w:proofErr w:type="spellStart"/>
            <w:r>
              <w:rPr>
                <w:rFonts w:eastAsia="Calibri" w:cs="Arial"/>
                <w:color w:val="595959"/>
                <w:sz w:val="18"/>
              </w:rPr>
              <w:t>Center</w:t>
            </w:r>
            <w:proofErr w:type="spellEnd"/>
            <w:r>
              <w:rPr>
                <w:rFonts w:eastAsia="Calibri" w:cs="Arial"/>
                <w:color w:val="595959"/>
                <w:sz w:val="18"/>
              </w:rPr>
              <w:t xml:space="preserve"> for Global Health </w:t>
            </w:r>
          </w:p>
        </w:tc>
        <w:tc>
          <w:tcPr>
            <w:tcW w:w="396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3E5F2EA4" w14:textId="77777777" w:rsidR="00782DF4" w:rsidRPr="00DB5E06" w:rsidRDefault="00782DF4" w:rsidP="00C148F1">
            <w:pPr>
              <w:rPr>
                <w:rFonts w:ascii="Arial" w:eastAsia="Times New Roman" w:hAnsi="Arial" w:cs="Arial"/>
                <w:color w:val="000000"/>
                <w:sz w:val="20"/>
                <w:szCs w:val="20"/>
              </w:rPr>
            </w:pPr>
            <w:r w:rsidRPr="006F72F4">
              <w:rPr>
                <w:rFonts w:ascii="Arial" w:eastAsia="Calibri" w:hAnsi="Arial" w:cs="Arial"/>
                <w:b/>
                <w:bCs/>
                <w:color w:val="002060"/>
                <w:sz w:val="20"/>
                <w:szCs w:val="20"/>
              </w:rPr>
              <w:t xml:space="preserve">Keynote talk: </w:t>
            </w:r>
            <w:r>
              <w:rPr>
                <w:rFonts w:ascii="Arial" w:eastAsia="Calibri" w:hAnsi="Arial" w:cs="Arial"/>
                <w:i/>
                <w:color w:val="000000" w:themeColor="text1"/>
                <w:sz w:val="20"/>
                <w:szCs w:val="20"/>
              </w:rPr>
              <w:t>Breathless: The Global War Against Tuberculosis</w:t>
            </w:r>
          </w:p>
        </w:tc>
      </w:tr>
      <w:tr w:rsidR="00782DF4" w:rsidRPr="00475A08" w14:paraId="31DF8496" w14:textId="77777777" w:rsidTr="00C148F1">
        <w:tblPrEx>
          <w:tblBorders>
            <w:top w:val="none" w:sz="0" w:space="0" w:color="auto"/>
          </w:tblBorders>
        </w:tblPrEx>
        <w:trPr>
          <w:cantSplit/>
        </w:trPr>
        <w:tc>
          <w:tcPr>
            <w:tcW w:w="1998" w:type="dxa"/>
            <w:tcBorders>
              <w:top w:val="single" w:sz="8" w:space="0" w:color="9A9A9A"/>
              <w:left w:val="single" w:sz="8" w:space="0" w:color="9A9A9A"/>
              <w:bottom w:val="nil"/>
              <w:right w:val="single" w:sz="8" w:space="0" w:color="9A9A9A"/>
            </w:tcBorders>
            <w:shd w:val="clear" w:color="auto" w:fill="D9E2F3" w:themeFill="accent1" w:themeFillTint="33"/>
            <w:tcMar>
              <w:top w:w="100" w:type="nil"/>
              <w:left w:w="20" w:type="nil"/>
              <w:bottom w:w="20" w:type="nil"/>
              <w:right w:w="100" w:type="nil"/>
            </w:tcMar>
          </w:tcPr>
          <w:p w14:paraId="127295A1" w14:textId="77777777" w:rsidR="00782DF4" w:rsidRPr="0068633A" w:rsidRDefault="00782DF4" w:rsidP="00C148F1">
            <w:pPr>
              <w:pStyle w:val="Mainbodycopy"/>
              <w:spacing w:line="240" w:lineRule="auto"/>
              <w:rPr>
                <w:rFonts w:cs="Arial"/>
                <w:color w:val="000000" w:themeColor="text1"/>
              </w:rPr>
            </w:pPr>
            <w:r>
              <w:rPr>
                <w:rFonts w:eastAsia="Calibri" w:cs="Arial"/>
                <w:color w:val="000000" w:themeColor="text1"/>
              </w:rPr>
              <w:t>10:15-11:15am</w:t>
            </w:r>
          </w:p>
        </w:tc>
        <w:tc>
          <w:tcPr>
            <w:tcW w:w="4050" w:type="dxa"/>
            <w:tcBorders>
              <w:top w:val="single" w:sz="8" w:space="0" w:color="9A9A9A"/>
              <w:left w:val="single" w:sz="8" w:space="0" w:color="9A9A9A"/>
              <w:bottom w:val="nil"/>
              <w:right w:val="single" w:sz="8" w:space="0" w:color="9A9A9A"/>
            </w:tcBorders>
            <w:shd w:val="clear" w:color="auto" w:fill="D9E2F3" w:themeFill="accent1" w:themeFillTint="33"/>
            <w:tcMar>
              <w:top w:w="100" w:type="nil"/>
              <w:left w:w="20" w:type="nil"/>
              <w:bottom w:w="20" w:type="nil"/>
              <w:right w:w="100" w:type="nil"/>
            </w:tcMar>
          </w:tcPr>
          <w:p w14:paraId="50E2F364" w14:textId="77777777" w:rsidR="00782DF4" w:rsidRPr="0068633A" w:rsidRDefault="00782DF4" w:rsidP="00C148F1">
            <w:pPr>
              <w:spacing w:after="0" w:line="240" w:lineRule="auto"/>
              <w:rPr>
                <w:rFonts w:ascii="Arial" w:eastAsia="Calibri" w:hAnsi="Arial" w:cs="Arial"/>
                <w:b/>
                <w:color w:val="000000" w:themeColor="text1"/>
                <w:sz w:val="20"/>
                <w:szCs w:val="20"/>
              </w:rPr>
            </w:pPr>
            <w:r>
              <w:rPr>
                <w:rFonts w:ascii="Arial" w:eastAsia="Calibri" w:hAnsi="Arial" w:cs="Arial"/>
                <w:color w:val="595959"/>
                <w:sz w:val="18"/>
                <w:szCs w:val="20"/>
              </w:rPr>
              <w:t xml:space="preserve">Session moderator: </w:t>
            </w:r>
          </w:p>
          <w:p w14:paraId="2DA01C1F" w14:textId="77777777" w:rsidR="00782DF4" w:rsidRPr="0068633A" w:rsidRDefault="00782DF4" w:rsidP="00C148F1">
            <w:pPr>
              <w:spacing w:after="0" w:line="240" w:lineRule="auto"/>
              <w:rPr>
                <w:rFonts w:ascii="Arial" w:eastAsia="Calibri" w:hAnsi="Arial" w:cs="Arial"/>
                <w:b/>
                <w:bCs/>
                <w:color w:val="000000" w:themeColor="text1"/>
                <w:sz w:val="20"/>
                <w:szCs w:val="20"/>
              </w:rPr>
            </w:pPr>
            <w:r>
              <w:rPr>
                <w:rFonts w:ascii="Arial" w:eastAsia="Calibri" w:hAnsi="Arial" w:cs="Arial"/>
                <w:b/>
                <w:bCs/>
                <w:color w:val="000000" w:themeColor="text1"/>
                <w:sz w:val="20"/>
                <w:szCs w:val="20"/>
              </w:rPr>
              <w:t>Jonathan Budzik</w:t>
            </w:r>
            <w:r>
              <w:rPr>
                <w:rFonts w:ascii="Arial" w:eastAsia="Calibri" w:hAnsi="Arial" w:cs="Arial"/>
                <w:bCs/>
                <w:color w:val="000000" w:themeColor="text1"/>
                <w:sz w:val="20"/>
                <w:szCs w:val="20"/>
              </w:rPr>
              <w:t>, MD, PhD</w:t>
            </w:r>
          </w:p>
          <w:p w14:paraId="72638E1A" w14:textId="77777777" w:rsidR="00782DF4" w:rsidRDefault="00782DF4" w:rsidP="00C148F1">
            <w:pPr>
              <w:spacing w:after="0" w:line="240" w:lineRule="auto"/>
              <w:rPr>
                <w:rFonts w:ascii="Arial" w:eastAsia="Calibri" w:hAnsi="Arial" w:cs="Arial"/>
                <w:color w:val="595959"/>
                <w:sz w:val="18"/>
                <w:szCs w:val="20"/>
              </w:rPr>
            </w:pPr>
            <w:r>
              <w:rPr>
                <w:rFonts w:ascii="Arial" w:eastAsia="Calibri" w:hAnsi="Arial" w:cs="Arial"/>
                <w:color w:val="595959"/>
                <w:sz w:val="18"/>
                <w:szCs w:val="20"/>
              </w:rPr>
              <w:t>University of California, San Francisco</w:t>
            </w:r>
          </w:p>
          <w:p w14:paraId="704F682A" w14:textId="77777777" w:rsidR="00782DF4" w:rsidRPr="0068633A" w:rsidRDefault="00782DF4" w:rsidP="00C148F1">
            <w:pPr>
              <w:spacing w:after="0" w:line="240" w:lineRule="auto"/>
              <w:rPr>
                <w:rFonts w:ascii="Arial" w:hAnsi="Arial" w:cs="Arial"/>
                <w:color w:val="000000" w:themeColor="text1"/>
                <w:sz w:val="20"/>
                <w:szCs w:val="20"/>
              </w:rPr>
            </w:pPr>
            <w:r>
              <w:rPr>
                <w:rFonts w:ascii="Arial" w:eastAsia="Calibri" w:hAnsi="Arial" w:cs="Arial"/>
                <w:color w:val="595959"/>
                <w:sz w:val="18"/>
                <w:szCs w:val="20"/>
              </w:rPr>
              <w:t>Assistant Professor, School of Medicine</w:t>
            </w:r>
          </w:p>
        </w:tc>
        <w:tc>
          <w:tcPr>
            <w:tcW w:w="3960" w:type="dxa"/>
            <w:tcBorders>
              <w:top w:val="single" w:sz="8" w:space="0" w:color="9A9A9A"/>
              <w:left w:val="single" w:sz="8" w:space="0" w:color="9A9A9A"/>
              <w:bottom w:val="nil"/>
              <w:right w:val="single" w:sz="8" w:space="0" w:color="9A9A9A"/>
            </w:tcBorders>
            <w:shd w:val="clear" w:color="auto" w:fill="D9E2F3" w:themeFill="accent1" w:themeFillTint="33"/>
            <w:tcMar>
              <w:top w:w="100" w:type="nil"/>
              <w:left w:w="20" w:type="nil"/>
              <w:bottom w:w="20" w:type="nil"/>
              <w:right w:w="100" w:type="nil"/>
            </w:tcMar>
          </w:tcPr>
          <w:p w14:paraId="315C02AD" w14:textId="77777777" w:rsidR="00782DF4" w:rsidRPr="0068633A" w:rsidRDefault="00782DF4" w:rsidP="00C148F1">
            <w:pPr>
              <w:rPr>
                <w:rFonts w:ascii="Arial" w:eastAsia="Calibri" w:hAnsi="Arial" w:cs="Arial"/>
                <w:bCs/>
                <w:color w:val="000000" w:themeColor="text1"/>
                <w:sz w:val="20"/>
                <w:szCs w:val="20"/>
              </w:rPr>
            </w:pPr>
            <w:r w:rsidRPr="006F72F4">
              <w:rPr>
                <w:rFonts w:ascii="Arial" w:eastAsia="Calibri" w:hAnsi="Arial" w:cs="Arial"/>
                <w:b/>
                <w:color w:val="002060"/>
                <w:sz w:val="20"/>
                <w:szCs w:val="20"/>
              </w:rPr>
              <w:t>Invited talks</w:t>
            </w:r>
          </w:p>
        </w:tc>
      </w:tr>
      <w:tr w:rsidR="00782DF4" w:rsidRPr="00475A08" w14:paraId="0B3EED94" w14:textId="77777777" w:rsidTr="00C148F1">
        <w:tblPrEx>
          <w:tblBorders>
            <w:top w:val="none" w:sz="0" w:space="0" w:color="auto"/>
          </w:tblBorders>
        </w:tblPrEx>
        <w:trPr>
          <w:cantSplit/>
        </w:trPr>
        <w:tc>
          <w:tcPr>
            <w:tcW w:w="1998" w:type="dxa"/>
            <w:tcBorders>
              <w:top w:val="nil"/>
              <w:left w:val="single" w:sz="8" w:space="0" w:color="9A9A9A"/>
              <w:bottom w:val="nil"/>
              <w:right w:val="single" w:sz="8" w:space="0" w:color="9A9A9A"/>
            </w:tcBorders>
            <w:tcMar>
              <w:top w:w="100" w:type="nil"/>
              <w:left w:w="20" w:type="nil"/>
              <w:bottom w:w="20" w:type="nil"/>
              <w:right w:w="100" w:type="nil"/>
            </w:tcMar>
          </w:tcPr>
          <w:p w14:paraId="66EE2AE2" w14:textId="77777777" w:rsidR="00782DF4" w:rsidRPr="0068633A" w:rsidRDefault="00782DF4" w:rsidP="00C148F1">
            <w:pPr>
              <w:pStyle w:val="Mainbodycopy"/>
              <w:spacing w:line="240" w:lineRule="auto"/>
              <w:rPr>
                <w:rFonts w:cs="Arial"/>
                <w:color w:val="000000" w:themeColor="text1"/>
              </w:rPr>
            </w:pPr>
          </w:p>
        </w:tc>
        <w:tc>
          <w:tcPr>
            <w:tcW w:w="4050" w:type="dxa"/>
            <w:tcBorders>
              <w:top w:val="nil"/>
              <w:left w:val="single" w:sz="8" w:space="0" w:color="9A9A9A"/>
              <w:bottom w:val="nil"/>
              <w:right w:val="single" w:sz="8" w:space="0" w:color="9A9A9A"/>
            </w:tcBorders>
            <w:tcMar>
              <w:top w:w="100" w:type="nil"/>
              <w:left w:w="20" w:type="nil"/>
              <w:bottom w:w="20" w:type="nil"/>
              <w:right w:w="100" w:type="nil"/>
            </w:tcMar>
          </w:tcPr>
          <w:p w14:paraId="59F00960" w14:textId="77777777" w:rsidR="00782DF4" w:rsidRPr="0068633A" w:rsidRDefault="00782DF4" w:rsidP="00C148F1">
            <w:pPr>
              <w:pStyle w:val="Mainbodycopy"/>
              <w:spacing w:line="240" w:lineRule="auto"/>
              <w:rPr>
                <w:rFonts w:eastAsia="Calibri" w:cs="Arial"/>
                <w:bCs/>
                <w:color w:val="000000" w:themeColor="text1"/>
              </w:rPr>
            </w:pPr>
            <w:r>
              <w:rPr>
                <w:rFonts w:cs="Arial"/>
                <w:b/>
                <w:bCs/>
                <w:color w:val="000000" w:themeColor="text1"/>
              </w:rPr>
              <w:t>Leonardo Martinez</w:t>
            </w:r>
            <w:r>
              <w:rPr>
                <w:rFonts w:cs="Arial"/>
                <w:bCs/>
                <w:color w:val="000000" w:themeColor="text1"/>
              </w:rPr>
              <w:t>, PhD, MPH</w:t>
            </w:r>
            <w:r>
              <w:rPr>
                <w:rFonts w:cs="Arial"/>
                <w:color w:val="595959"/>
                <w:sz w:val="18"/>
              </w:rPr>
              <w:br/>
              <w:t>University of California, Berkeley</w:t>
            </w:r>
            <w:r>
              <w:rPr>
                <w:rFonts w:cs="Arial"/>
                <w:color w:val="595959"/>
                <w:sz w:val="18"/>
              </w:rPr>
              <w:br/>
              <w:t>School of Public Health</w:t>
            </w:r>
            <w:r>
              <w:rPr>
                <w:rFonts w:cs="Arial"/>
                <w:color w:val="595959"/>
                <w:sz w:val="18"/>
              </w:rPr>
              <w:br/>
              <w:t>Division of Epidemiology</w:t>
            </w:r>
          </w:p>
        </w:tc>
        <w:tc>
          <w:tcPr>
            <w:tcW w:w="3960" w:type="dxa"/>
            <w:tcBorders>
              <w:top w:val="nil"/>
              <w:left w:val="single" w:sz="8" w:space="0" w:color="9A9A9A"/>
              <w:bottom w:val="nil"/>
              <w:right w:val="single" w:sz="8" w:space="0" w:color="9A9A9A"/>
            </w:tcBorders>
          </w:tcPr>
          <w:p w14:paraId="68A48994" w14:textId="77777777" w:rsidR="00782DF4" w:rsidRPr="00AB4741" w:rsidRDefault="00782DF4" w:rsidP="00C148F1">
            <w:pPr>
              <w:pStyle w:val="Mainbodycopy"/>
              <w:spacing w:line="240" w:lineRule="auto"/>
              <w:rPr>
                <w:rFonts w:eastAsia="Calibri" w:cs="Arial"/>
                <w:bCs/>
                <w:color w:val="000000" w:themeColor="text1"/>
              </w:rPr>
            </w:pPr>
            <w:r w:rsidRPr="00AB4741">
              <w:rPr>
                <w:rFonts w:cs="Arial"/>
                <w:i/>
                <w:color w:val="000000" w:themeColor="text1"/>
              </w:rPr>
              <w:t xml:space="preserve">Measles, Immune Disruption, and Tuberculosis Risk: Population-Based Evidence </w:t>
            </w:r>
            <w:proofErr w:type="gramStart"/>
            <w:r w:rsidRPr="00AB4741">
              <w:rPr>
                <w:rFonts w:cs="Arial"/>
                <w:i/>
                <w:color w:val="000000" w:themeColor="text1"/>
              </w:rPr>
              <w:t>From</w:t>
            </w:r>
            <w:proofErr w:type="gramEnd"/>
            <w:r w:rsidRPr="00AB4741">
              <w:rPr>
                <w:rFonts w:cs="Arial"/>
                <w:i/>
                <w:color w:val="000000" w:themeColor="text1"/>
              </w:rPr>
              <w:t xml:space="preserve"> China</w:t>
            </w:r>
          </w:p>
        </w:tc>
      </w:tr>
      <w:tr w:rsidR="00782DF4" w:rsidRPr="00475A08" w14:paraId="603DE099" w14:textId="77777777" w:rsidTr="00C148F1">
        <w:tblPrEx>
          <w:tblBorders>
            <w:top w:val="none" w:sz="0" w:space="0" w:color="auto"/>
          </w:tblBorders>
        </w:tblPrEx>
        <w:trPr>
          <w:cantSplit/>
        </w:trPr>
        <w:tc>
          <w:tcPr>
            <w:tcW w:w="1998" w:type="dxa"/>
            <w:tcBorders>
              <w:top w:val="nil"/>
              <w:left w:val="single" w:sz="8" w:space="0" w:color="9A9A9A"/>
              <w:bottom w:val="nil"/>
              <w:right w:val="single" w:sz="8" w:space="0" w:color="9A9A9A"/>
            </w:tcBorders>
            <w:tcMar>
              <w:top w:w="100" w:type="nil"/>
              <w:left w:w="20" w:type="nil"/>
              <w:bottom w:w="20" w:type="nil"/>
              <w:right w:w="100" w:type="nil"/>
            </w:tcMar>
          </w:tcPr>
          <w:p w14:paraId="082CEF15" w14:textId="77777777" w:rsidR="00782DF4" w:rsidRDefault="00782DF4" w:rsidP="00C148F1">
            <w:pPr>
              <w:pStyle w:val="Mainbodycopy"/>
              <w:spacing w:line="240" w:lineRule="auto"/>
              <w:rPr>
                <w:rFonts w:eastAsia="Calibri" w:cs="Arial"/>
                <w:color w:val="000000" w:themeColor="text1"/>
              </w:rPr>
            </w:pPr>
          </w:p>
        </w:tc>
        <w:tc>
          <w:tcPr>
            <w:tcW w:w="4050" w:type="dxa"/>
            <w:tcBorders>
              <w:top w:val="nil"/>
              <w:left w:val="single" w:sz="8" w:space="0" w:color="9A9A9A"/>
              <w:bottom w:val="nil"/>
              <w:right w:val="single" w:sz="8" w:space="0" w:color="9A9A9A"/>
            </w:tcBorders>
            <w:tcMar>
              <w:top w:w="100" w:type="nil"/>
              <w:left w:w="20" w:type="nil"/>
              <w:bottom w:w="20" w:type="nil"/>
              <w:right w:w="100" w:type="nil"/>
            </w:tcMar>
          </w:tcPr>
          <w:p w14:paraId="3EDCA177" w14:textId="77777777" w:rsidR="00782DF4" w:rsidRDefault="00782DF4" w:rsidP="00C148F1">
            <w:pPr>
              <w:pStyle w:val="Mainbodycopy"/>
              <w:spacing w:line="240" w:lineRule="auto"/>
              <w:rPr>
                <w:rFonts w:cs="Arial"/>
                <w:b/>
                <w:bCs/>
                <w:color w:val="000000" w:themeColor="text1"/>
              </w:rPr>
            </w:pPr>
            <w:r>
              <w:rPr>
                <w:rFonts w:eastAsia="Times New Roman" w:cs="Arial"/>
                <w:b/>
                <w:bCs/>
                <w:color w:val="111111"/>
              </w:rPr>
              <w:t>Carina Marquez</w:t>
            </w:r>
            <w:r>
              <w:rPr>
                <w:rFonts w:eastAsia="Times New Roman" w:cs="Arial"/>
                <w:bCs/>
                <w:color w:val="111111"/>
              </w:rPr>
              <w:t>, MD, MPH</w:t>
            </w:r>
            <w:r>
              <w:rPr>
                <w:rFonts w:eastAsia="Times New Roman" w:cs="Arial"/>
                <w:bCs/>
                <w:color w:val="595959"/>
                <w:sz w:val="18"/>
              </w:rPr>
              <w:br/>
            </w:r>
            <w:r>
              <w:rPr>
                <w:rFonts w:eastAsia="Times New Roman" w:cs="Arial"/>
                <w:color w:val="595959"/>
                <w:sz w:val="18"/>
              </w:rPr>
              <w:t>University of California, San Francisco</w:t>
            </w:r>
            <w:r>
              <w:rPr>
                <w:rFonts w:eastAsia="Times New Roman" w:cs="Arial"/>
                <w:bCs/>
                <w:color w:val="595959"/>
                <w:sz w:val="18"/>
              </w:rPr>
              <w:br/>
            </w:r>
            <w:r>
              <w:rPr>
                <w:rFonts w:eastAsia="Times New Roman" w:cs="Arial"/>
                <w:color w:val="595959"/>
                <w:sz w:val="18"/>
              </w:rPr>
              <w:t>Professor, Division of HIV, Infectious Diseases, and Global Medicine</w:t>
            </w:r>
            <w:r>
              <w:rPr>
                <w:rFonts w:eastAsia="Times New Roman" w:cs="Arial"/>
                <w:bCs/>
                <w:color w:val="595959"/>
                <w:sz w:val="18"/>
              </w:rPr>
              <w:br/>
            </w:r>
            <w:r>
              <w:rPr>
                <w:rFonts w:eastAsia="Times New Roman" w:cs="Arial"/>
                <w:color w:val="595959"/>
                <w:sz w:val="18"/>
              </w:rPr>
              <w:t>School of Medicine</w:t>
            </w:r>
          </w:p>
        </w:tc>
        <w:tc>
          <w:tcPr>
            <w:tcW w:w="3960" w:type="dxa"/>
            <w:tcBorders>
              <w:top w:val="nil"/>
              <w:left w:val="single" w:sz="8" w:space="0" w:color="9A9A9A"/>
              <w:bottom w:val="nil"/>
              <w:right w:val="single" w:sz="8" w:space="0" w:color="9A9A9A"/>
            </w:tcBorders>
          </w:tcPr>
          <w:p w14:paraId="312B2BD9" w14:textId="77777777" w:rsidR="00782DF4" w:rsidRDefault="00782DF4" w:rsidP="00C148F1">
            <w:pPr>
              <w:pStyle w:val="Mainbodycopy"/>
              <w:spacing w:line="240" w:lineRule="auto"/>
              <w:rPr>
                <w:rFonts w:cs="Arial"/>
              </w:rPr>
            </w:pPr>
            <w:r>
              <w:rPr>
                <w:rFonts w:eastAsia="Arial" w:cs="Arial"/>
                <w:i/>
                <w:color w:val="000000" w:themeColor="text1"/>
              </w:rPr>
              <w:t>Social-Spatial Networks and Tuberculosis Infection in Children and Adolescents</w:t>
            </w:r>
          </w:p>
        </w:tc>
      </w:tr>
      <w:tr w:rsidR="00782DF4" w:rsidRPr="00475A08" w14:paraId="3EE5521D" w14:textId="77777777" w:rsidTr="00C148F1">
        <w:tblPrEx>
          <w:tblBorders>
            <w:top w:val="none" w:sz="0" w:space="0" w:color="auto"/>
          </w:tblBorders>
        </w:tblPrEx>
        <w:trPr>
          <w:cantSplit/>
        </w:trPr>
        <w:tc>
          <w:tcPr>
            <w:tcW w:w="1998" w:type="dxa"/>
            <w:tcBorders>
              <w:top w:val="nil"/>
              <w:left w:val="single" w:sz="8" w:space="0" w:color="9A9A9A"/>
              <w:bottom w:val="single" w:sz="8" w:space="0" w:color="9A9A9A"/>
              <w:right w:val="single" w:sz="8" w:space="0" w:color="9A9A9A"/>
            </w:tcBorders>
            <w:tcMar>
              <w:top w:w="100" w:type="nil"/>
              <w:left w:w="20" w:type="nil"/>
              <w:bottom w:w="20" w:type="nil"/>
              <w:right w:w="100" w:type="nil"/>
            </w:tcMar>
          </w:tcPr>
          <w:p w14:paraId="40DE3356" w14:textId="77777777" w:rsidR="00782DF4" w:rsidRPr="0068633A" w:rsidRDefault="00782DF4" w:rsidP="00C148F1">
            <w:pPr>
              <w:pStyle w:val="Mainbodycopy"/>
              <w:spacing w:line="240" w:lineRule="auto"/>
              <w:rPr>
                <w:rFonts w:cs="Arial"/>
                <w:color w:val="000000" w:themeColor="text1"/>
              </w:rPr>
            </w:pPr>
          </w:p>
        </w:tc>
        <w:tc>
          <w:tcPr>
            <w:tcW w:w="4050" w:type="dxa"/>
            <w:tcBorders>
              <w:top w:val="nil"/>
              <w:left w:val="single" w:sz="8" w:space="0" w:color="9A9A9A"/>
              <w:bottom w:val="single" w:sz="8" w:space="0" w:color="9A9A9A"/>
              <w:right w:val="single" w:sz="8" w:space="0" w:color="9A9A9A"/>
            </w:tcBorders>
            <w:tcMar>
              <w:top w:w="100" w:type="nil"/>
              <w:left w:w="20" w:type="nil"/>
              <w:bottom w:w="20" w:type="nil"/>
              <w:right w:w="100" w:type="nil"/>
            </w:tcMar>
          </w:tcPr>
          <w:p w14:paraId="27643758" w14:textId="77777777" w:rsidR="00782DF4" w:rsidRPr="0068633A" w:rsidRDefault="00782DF4" w:rsidP="00C148F1">
            <w:pPr>
              <w:spacing w:after="0" w:line="240" w:lineRule="auto"/>
              <w:rPr>
                <w:rFonts w:ascii="Arial" w:eastAsia="Calibri" w:hAnsi="Arial" w:cs="Arial"/>
                <w:b/>
                <w:bCs/>
                <w:color w:val="000000" w:themeColor="text1"/>
                <w:sz w:val="20"/>
                <w:szCs w:val="20"/>
              </w:rPr>
            </w:pPr>
            <w:r>
              <w:rPr>
                <w:rFonts w:ascii="Arial" w:eastAsia="Calibri" w:hAnsi="Arial" w:cs="Arial"/>
                <w:b/>
                <w:bCs/>
                <w:color w:val="000000" w:themeColor="text1"/>
                <w:sz w:val="20"/>
                <w:szCs w:val="20"/>
              </w:rPr>
              <w:t>Babak Javid</w:t>
            </w:r>
            <w:r>
              <w:rPr>
                <w:rFonts w:ascii="Arial" w:eastAsia="Calibri" w:hAnsi="Arial" w:cs="Arial"/>
                <w:bCs/>
                <w:color w:val="000000" w:themeColor="text1"/>
                <w:sz w:val="20"/>
                <w:szCs w:val="20"/>
              </w:rPr>
              <w:t xml:space="preserve">, MB </w:t>
            </w:r>
            <w:proofErr w:type="spellStart"/>
            <w:r>
              <w:rPr>
                <w:rFonts w:ascii="Arial" w:eastAsia="Calibri" w:hAnsi="Arial" w:cs="Arial"/>
                <w:bCs/>
                <w:color w:val="000000" w:themeColor="text1"/>
                <w:sz w:val="20"/>
                <w:szCs w:val="20"/>
              </w:rPr>
              <w:t>BChir</w:t>
            </w:r>
            <w:proofErr w:type="spellEnd"/>
            <w:r>
              <w:rPr>
                <w:rFonts w:ascii="Arial" w:eastAsia="Calibri" w:hAnsi="Arial" w:cs="Arial"/>
                <w:bCs/>
                <w:color w:val="000000" w:themeColor="text1"/>
                <w:sz w:val="20"/>
                <w:szCs w:val="20"/>
              </w:rPr>
              <w:t>, PhD</w:t>
            </w:r>
          </w:p>
          <w:p w14:paraId="4AAC0149" w14:textId="77777777" w:rsidR="00782DF4" w:rsidRDefault="00782DF4" w:rsidP="00C148F1">
            <w:pPr>
              <w:spacing w:after="0" w:line="240" w:lineRule="auto"/>
              <w:rPr>
                <w:rFonts w:ascii="Arial" w:eastAsia="Calibri" w:hAnsi="Arial" w:cs="Arial"/>
                <w:color w:val="595959"/>
                <w:sz w:val="18"/>
                <w:szCs w:val="20"/>
              </w:rPr>
            </w:pPr>
            <w:r w:rsidRPr="00156278">
              <w:rPr>
                <w:rFonts w:ascii="Arial" w:eastAsia="Calibri" w:hAnsi="Arial" w:cs="Arial"/>
                <w:color w:val="595959"/>
                <w:sz w:val="18"/>
                <w:szCs w:val="20"/>
              </w:rPr>
              <w:t>University of California, San Francisco</w:t>
            </w:r>
            <w:r>
              <w:rPr>
                <w:rFonts w:ascii="Arial" w:eastAsia="Calibri" w:hAnsi="Arial" w:cs="Arial"/>
                <w:color w:val="595959"/>
                <w:sz w:val="18"/>
                <w:szCs w:val="20"/>
              </w:rPr>
              <w:t xml:space="preserve"> </w:t>
            </w:r>
          </w:p>
          <w:p w14:paraId="43BA30F3" w14:textId="77777777" w:rsidR="00782DF4" w:rsidRPr="00D74CAA" w:rsidRDefault="00782DF4" w:rsidP="00C148F1">
            <w:pPr>
              <w:spacing w:after="0" w:line="240" w:lineRule="auto"/>
              <w:rPr>
                <w:rFonts w:ascii="Arial" w:eastAsia="Calibri" w:hAnsi="Arial" w:cs="Arial"/>
                <w:color w:val="000000" w:themeColor="text1"/>
                <w:sz w:val="20"/>
                <w:szCs w:val="20"/>
              </w:rPr>
            </w:pPr>
            <w:r>
              <w:rPr>
                <w:rFonts w:ascii="Arial" w:eastAsia="Calibri" w:hAnsi="Arial" w:cs="Arial"/>
                <w:color w:val="595959"/>
                <w:sz w:val="18"/>
                <w:szCs w:val="20"/>
              </w:rPr>
              <w:t xml:space="preserve">Associate Professor, </w:t>
            </w:r>
            <w:r w:rsidRPr="00156278">
              <w:rPr>
                <w:rFonts w:ascii="Arial" w:eastAsia="Calibri" w:hAnsi="Arial" w:cs="Arial"/>
                <w:color w:val="595959"/>
                <w:sz w:val="18"/>
                <w:szCs w:val="20"/>
              </w:rPr>
              <w:t>Division of Experimental Medicine</w:t>
            </w:r>
          </w:p>
        </w:tc>
        <w:tc>
          <w:tcPr>
            <w:tcW w:w="3960" w:type="dxa"/>
            <w:tcBorders>
              <w:top w:val="nil"/>
              <w:left w:val="single" w:sz="8" w:space="0" w:color="9A9A9A"/>
              <w:bottom w:val="single" w:sz="8" w:space="0" w:color="9A9A9A"/>
              <w:right w:val="single" w:sz="8" w:space="0" w:color="9A9A9A"/>
            </w:tcBorders>
            <w:tcMar>
              <w:top w:w="100" w:type="nil"/>
              <w:left w:w="20" w:type="nil"/>
              <w:bottom w:w="20" w:type="nil"/>
              <w:right w:w="100" w:type="nil"/>
            </w:tcMar>
          </w:tcPr>
          <w:p w14:paraId="58F4B58A" w14:textId="77777777" w:rsidR="00782DF4" w:rsidRPr="0068633A" w:rsidRDefault="00782DF4" w:rsidP="00C148F1">
            <w:pPr>
              <w:pStyle w:val="Mainbodycopy"/>
              <w:spacing w:line="240" w:lineRule="auto"/>
              <w:rPr>
                <w:rFonts w:eastAsia="Calibri" w:cs="Arial"/>
                <w:bCs/>
                <w:color w:val="000000" w:themeColor="text1"/>
              </w:rPr>
            </w:pPr>
            <w:r>
              <w:rPr>
                <w:rFonts w:eastAsia="Arial" w:cs="Arial"/>
                <w:i/>
                <w:color w:val="000000" w:themeColor="text1"/>
                <w:spacing w:val="0"/>
                <w:lang w:val="en-US"/>
              </w:rPr>
              <w:t xml:space="preserve">Protective </w:t>
            </w:r>
            <w:proofErr w:type="spellStart"/>
            <w:r>
              <w:rPr>
                <w:rFonts w:eastAsia="Arial" w:cs="Arial"/>
                <w:i/>
                <w:color w:val="000000" w:themeColor="text1"/>
                <w:spacing w:val="0"/>
                <w:lang w:val="en-US"/>
              </w:rPr>
              <w:t>Mtb</w:t>
            </w:r>
            <w:proofErr w:type="spellEnd"/>
            <w:r>
              <w:rPr>
                <w:rFonts w:eastAsia="Arial" w:cs="Arial"/>
                <w:i/>
                <w:color w:val="000000" w:themeColor="text1"/>
                <w:spacing w:val="0"/>
                <w:lang w:val="en-US"/>
              </w:rPr>
              <w:t>-specific antibodies exert a vaccinal effect in experimental TB infection</w:t>
            </w:r>
          </w:p>
        </w:tc>
      </w:tr>
      <w:tr w:rsidR="00782DF4" w:rsidRPr="00475A08" w14:paraId="15436947" w14:textId="77777777" w:rsidTr="00C148F1">
        <w:tblPrEx>
          <w:tblBorders>
            <w:top w:val="none" w:sz="0" w:space="0" w:color="auto"/>
          </w:tblBorders>
        </w:tblPrEx>
        <w:trPr>
          <w:cantSplit/>
        </w:trPr>
        <w:tc>
          <w:tcPr>
            <w:tcW w:w="1998" w:type="dxa"/>
            <w:tcBorders>
              <w:top w:val="single" w:sz="8" w:space="0" w:color="9A9A9A"/>
              <w:left w:val="single" w:sz="8" w:space="0" w:color="9A9A9A"/>
              <w:bottom w:val="single" w:sz="8" w:space="0" w:color="9A9A9A"/>
              <w:right w:val="single" w:sz="8" w:space="0" w:color="9A9A9A"/>
            </w:tcBorders>
            <w:shd w:val="clear" w:color="auto" w:fill="F2F2F2" w:themeFill="background1" w:themeFillShade="F2"/>
            <w:tcMar>
              <w:top w:w="100" w:type="nil"/>
              <w:left w:w="20" w:type="nil"/>
              <w:bottom w:w="20" w:type="nil"/>
              <w:right w:w="100" w:type="nil"/>
            </w:tcMar>
          </w:tcPr>
          <w:p w14:paraId="7E8BFA59" w14:textId="77777777" w:rsidR="00782DF4" w:rsidRPr="0068633A" w:rsidRDefault="00782DF4" w:rsidP="00C148F1">
            <w:pPr>
              <w:pStyle w:val="Mainbodycopy"/>
              <w:spacing w:line="240" w:lineRule="auto"/>
              <w:rPr>
                <w:rFonts w:cs="Arial"/>
                <w:color w:val="000000" w:themeColor="text1"/>
              </w:rPr>
            </w:pPr>
            <w:r>
              <w:rPr>
                <w:rFonts w:eastAsia="Calibri" w:cs="Arial"/>
                <w:color w:val="000000" w:themeColor="text1"/>
              </w:rPr>
              <w:t>11:15-11:45am</w:t>
            </w:r>
          </w:p>
        </w:tc>
        <w:tc>
          <w:tcPr>
            <w:tcW w:w="8010" w:type="dxa"/>
            <w:gridSpan w:val="2"/>
            <w:tcBorders>
              <w:top w:val="single" w:sz="8" w:space="0" w:color="9A9A9A"/>
              <w:left w:val="single" w:sz="8" w:space="0" w:color="9A9A9A"/>
              <w:bottom w:val="single" w:sz="8" w:space="0" w:color="9A9A9A"/>
              <w:right w:val="single" w:sz="8" w:space="0" w:color="9A9A9A"/>
            </w:tcBorders>
            <w:shd w:val="clear" w:color="auto" w:fill="F2F2F2" w:themeFill="background1" w:themeFillShade="F2"/>
            <w:tcMar>
              <w:top w:w="100" w:type="nil"/>
              <w:left w:w="20" w:type="nil"/>
              <w:bottom w:w="20" w:type="nil"/>
              <w:right w:w="100" w:type="nil"/>
            </w:tcMar>
          </w:tcPr>
          <w:p w14:paraId="5B10240A" w14:textId="77777777" w:rsidR="00782DF4" w:rsidRPr="0068633A" w:rsidRDefault="00782DF4" w:rsidP="00C148F1">
            <w:pPr>
              <w:pStyle w:val="Mainbodycopy"/>
              <w:spacing w:line="240" w:lineRule="auto"/>
              <w:rPr>
                <w:rFonts w:eastAsia="Calibri" w:cs="Arial"/>
                <w:bCs/>
                <w:color w:val="000000" w:themeColor="text1"/>
              </w:rPr>
            </w:pPr>
            <w:r>
              <w:rPr>
                <w:rFonts w:eastAsia="Calibri" w:cs="Arial"/>
                <w:b/>
                <w:bCs/>
                <w:color w:val="000000" w:themeColor="text1"/>
              </w:rPr>
              <w:t xml:space="preserve">Coffee Break: </w:t>
            </w:r>
            <w:r>
              <w:rPr>
                <w:rFonts w:eastAsia="Calibri" w:cs="Arial"/>
                <w:color w:val="000000" w:themeColor="text1"/>
              </w:rPr>
              <w:t>30min</w:t>
            </w:r>
          </w:p>
        </w:tc>
      </w:tr>
      <w:tr w:rsidR="00782DF4" w:rsidRPr="00475A08" w14:paraId="1952ABA4" w14:textId="77777777" w:rsidTr="00C148F1">
        <w:tblPrEx>
          <w:tblBorders>
            <w:top w:val="none" w:sz="0" w:space="0" w:color="auto"/>
          </w:tblBorders>
        </w:tblPrEx>
        <w:trPr>
          <w:cantSplit/>
        </w:trPr>
        <w:tc>
          <w:tcPr>
            <w:tcW w:w="1998" w:type="dxa"/>
            <w:tcBorders>
              <w:top w:val="single" w:sz="8" w:space="0" w:color="9A9A9A"/>
              <w:left w:val="single" w:sz="8" w:space="0" w:color="9A9A9A"/>
              <w:bottom w:val="nil"/>
              <w:right w:val="single" w:sz="8" w:space="0" w:color="9A9A9A"/>
            </w:tcBorders>
            <w:shd w:val="clear" w:color="auto" w:fill="D9E2F3" w:themeFill="accent1" w:themeFillTint="33"/>
            <w:tcMar>
              <w:top w:w="100" w:type="nil"/>
              <w:left w:w="20" w:type="nil"/>
              <w:bottom w:w="20" w:type="nil"/>
              <w:right w:w="100" w:type="nil"/>
            </w:tcMar>
          </w:tcPr>
          <w:p w14:paraId="562A93DF" w14:textId="77777777" w:rsidR="00782DF4" w:rsidRPr="0068633A" w:rsidRDefault="00782DF4" w:rsidP="00C148F1">
            <w:pPr>
              <w:pStyle w:val="Mainbodycopy"/>
              <w:spacing w:line="240" w:lineRule="auto"/>
              <w:rPr>
                <w:rFonts w:cs="Arial"/>
                <w:color w:val="000000" w:themeColor="text1"/>
              </w:rPr>
            </w:pPr>
            <w:r>
              <w:rPr>
                <w:rFonts w:eastAsia="Calibri" w:cs="Arial"/>
                <w:color w:val="000000" w:themeColor="text1"/>
              </w:rPr>
              <w:t>11:45am</w:t>
            </w:r>
            <w:r>
              <w:rPr>
                <w:rFonts w:eastAsia="Calibri" w:cs="Arial"/>
                <w:i/>
                <w:color w:val="000000" w:themeColor="text1"/>
              </w:rPr>
              <w:t>-</w:t>
            </w:r>
            <w:r>
              <w:rPr>
                <w:rFonts w:eastAsia="Calibri" w:cs="Arial"/>
                <w:color w:val="000000" w:themeColor="text1"/>
              </w:rPr>
              <w:t>12:30pm</w:t>
            </w:r>
          </w:p>
        </w:tc>
        <w:tc>
          <w:tcPr>
            <w:tcW w:w="4050" w:type="dxa"/>
            <w:tcBorders>
              <w:top w:val="single" w:sz="8" w:space="0" w:color="9A9A9A"/>
              <w:left w:val="single" w:sz="8" w:space="0" w:color="9A9A9A"/>
              <w:bottom w:val="nil"/>
              <w:right w:val="single" w:sz="8" w:space="0" w:color="9A9A9A"/>
            </w:tcBorders>
            <w:shd w:val="clear" w:color="auto" w:fill="D9E2F3" w:themeFill="accent1" w:themeFillTint="33"/>
            <w:tcMar>
              <w:top w:w="100" w:type="nil"/>
              <w:left w:w="20" w:type="nil"/>
              <w:bottom w:w="20" w:type="nil"/>
              <w:right w:w="100" w:type="nil"/>
            </w:tcMar>
          </w:tcPr>
          <w:p w14:paraId="3A77AC00" w14:textId="77777777" w:rsidR="00782DF4" w:rsidRPr="0068633A" w:rsidRDefault="00782DF4" w:rsidP="00C148F1">
            <w:pPr>
              <w:spacing w:after="0" w:line="240" w:lineRule="auto"/>
              <w:rPr>
                <w:rFonts w:ascii="Arial" w:eastAsia="Calibri" w:hAnsi="Arial" w:cs="Arial"/>
                <w:b/>
                <w:color w:val="000000" w:themeColor="text1"/>
                <w:sz w:val="20"/>
                <w:szCs w:val="20"/>
              </w:rPr>
            </w:pPr>
            <w:r>
              <w:rPr>
                <w:rFonts w:ascii="Arial" w:eastAsia="Calibri" w:hAnsi="Arial" w:cs="Arial"/>
                <w:color w:val="595959"/>
                <w:sz w:val="18"/>
                <w:szCs w:val="20"/>
              </w:rPr>
              <w:t xml:space="preserve">Session moderator: </w:t>
            </w:r>
          </w:p>
          <w:p w14:paraId="1C0E5B9C" w14:textId="77777777" w:rsidR="00782DF4" w:rsidRPr="0068633A" w:rsidRDefault="00782DF4" w:rsidP="00C148F1">
            <w:pPr>
              <w:spacing w:after="0" w:line="240" w:lineRule="auto"/>
              <w:rPr>
                <w:rFonts w:ascii="Arial" w:eastAsia="Calibri" w:hAnsi="Arial" w:cs="Arial"/>
                <w:b/>
                <w:color w:val="000000" w:themeColor="text1"/>
                <w:sz w:val="20"/>
                <w:szCs w:val="20"/>
              </w:rPr>
            </w:pPr>
            <w:r>
              <w:rPr>
                <w:rFonts w:ascii="Arial" w:eastAsia="Calibri" w:hAnsi="Arial" w:cs="Arial"/>
                <w:b/>
                <w:color w:val="000000" w:themeColor="text1"/>
                <w:sz w:val="20"/>
                <w:szCs w:val="20"/>
              </w:rPr>
              <w:t>Fatoumatta Darboe</w:t>
            </w:r>
            <w:r>
              <w:rPr>
                <w:rFonts w:ascii="Arial" w:eastAsia="Calibri" w:hAnsi="Arial" w:cs="Arial"/>
                <w:color w:val="000000" w:themeColor="text1"/>
                <w:sz w:val="20"/>
                <w:szCs w:val="20"/>
              </w:rPr>
              <w:t>, PhD</w:t>
            </w:r>
          </w:p>
          <w:p w14:paraId="6DDD40D1" w14:textId="77777777" w:rsidR="00782DF4" w:rsidRDefault="00782DF4" w:rsidP="00C148F1">
            <w:pPr>
              <w:spacing w:after="0" w:line="240" w:lineRule="auto"/>
              <w:rPr>
                <w:rFonts w:ascii="Arial" w:eastAsia="Calibri" w:hAnsi="Arial" w:cs="Arial"/>
                <w:color w:val="595959"/>
                <w:sz w:val="18"/>
                <w:szCs w:val="20"/>
              </w:rPr>
            </w:pPr>
            <w:r w:rsidRPr="00156278">
              <w:rPr>
                <w:rFonts w:ascii="Arial" w:eastAsia="Calibri" w:hAnsi="Arial" w:cs="Arial"/>
                <w:color w:val="595959"/>
                <w:sz w:val="18"/>
                <w:szCs w:val="20"/>
              </w:rPr>
              <w:t>University of California, San Francisco</w:t>
            </w:r>
            <w:r>
              <w:rPr>
                <w:rFonts w:ascii="Arial" w:eastAsia="Calibri" w:hAnsi="Arial" w:cs="Arial"/>
                <w:color w:val="595959"/>
                <w:sz w:val="18"/>
                <w:szCs w:val="20"/>
              </w:rPr>
              <w:t xml:space="preserve"> </w:t>
            </w:r>
          </w:p>
          <w:p w14:paraId="5C0C8743" w14:textId="77777777" w:rsidR="00782DF4" w:rsidRPr="0068633A" w:rsidRDefault="00782DF4" w:rsidP="00C148F1">
            <w:pPr>
              <w:spacing w:after="0" w:line="240" w:lineRule="auto"/>
              <w:rPr>
                <w:rFonts w:ascii="Arial" w:eastAsia="Calibri" w:hAnsi="Arial" w:cs="Arial"/>
                <w:bCs/>
                <w:color w:val="000000" w:themeColor="text1"/>
                <w:sz w:val="20"/>
                <w:szCs w:val="20"/>
              </w:rPr>
            </w:pPr>
            <w:r>
              <w:rPr>
                <w:rFonts w:ascii="Arial" w:eastAsia="Calibri" w:hAnsi="Arial" w:cs="Arial"/>
                <w:bCs/>
                <w:color w:val="595959"/>
                <w:sz w:val="18"/>
                <w:szCs w:val="20"/>
              </w:rPr>
              <w:t>Professional Researcher, Division of Experimental Medicine</w:t>
            </w:r>
          </w:p>
        </w:tc>
        <w:tc>
          <w:tcPr>
            <w:tcW w:w="3960" w:type="dxa"/>
            <w:tcBorders>
              <w:top w:val="single" w:sz="8" w:space="0" w:color="9A9A9A"/>
              <w:left w:val="single" w:sz="8" w:space="0" w:color="9A9A9A"/>
              <w:bottom w:val="nil"/>
              <w:right w:val="single" w:sz="8" w:space="0" w:color="9A9A9A"/>
            </w:tcBorders>
            <w:shd w:val="clear" w:color="auto" w:fill="D9E2F3" w:themeFill="accent1" w:themeFillTint="33"/>
            <w:tcMar>
              <w:top w:w="100" w:type="nil"/>
              <w:left w:w="20" w:type="nil"/>
              <w:bottom w:w="20" w:type="nil"/>
              <w:right w:w="100" w:type="nil"/>
            </w:tcMar>
          </w:tcPr>
          <w:p w14:paraId="67AE0069" w14:textId="77777777" w:rsidR="00782DF4" w:rsidRPr="0068633A" w:rsidRDefault="00782DF4" w:rsidP="00C148F1">
            <w:pPr>
              <w:pStyle w:val="Mainbodycopy"/>
              <w:spacing w:line="240" w:lineRule="auto"/>
              <w:rPr>
                <w:rFonts w:eastAsia="Calibri" w:cs="Arial"/>
                <w:bCs/>
                <w:color w:val="000000" w:themeColor="text1"/>
              </w:rPr>
            </w:pPr>
            <w:r w:rsidRPr="006F72F4">
              <w:rPr>
                <w:rFonts w:eastAsia="Calibri" w:cs="Arial"/>
                <w:b/>
                <w:bCs/>
                <w:color w:val="002060"/>
              </w:rPr>
              <w:t>Oral Abstracts</w:t>
            </w:r>
          </w:p>
        </w:tc>
      </w:tr>
      <w:tr w:rsidR="00782DF4" w:rsidRPr="00475A08" w14:paraId="6ED27FAC" w14:textId="77777777" w:rsidTr="00C148F1">
        <w:tblPrEx>
          <w:tblBorders>
            <w:top w:val="none" w:sz="0" w:space="0" w:color="auto"/>
          </w:tblBorders>
        </w:tblPrEx>
        <w:trPr>
          <w:cantSplit/>
        </w:trPr>
        <w:tc>
          <w:tcPr>
            <w:tcW w:w="1998" w:type="dxa"/>
            <w:tcBorders>
              <w:top w:val="nil"/>
              <w:left w:val="single" w:sz="8" w:space="0" w:color="9A9A9A"/>
              <w:bottom w:val="nil"/>
              <w:right w:val="single" w:sz="8" w:space="0" w:color="9A9A9A"/>
            </w:tcBorders>
            <w:tcMar>
              <w:top w:w="100" w:type="nil"/>
              <w:left w:w="20" w:type="nil"/>
              <w:bottom w:w="20" w:type="nil"/>
              <w:right w:w="100" w:type="nil"/>
            </w:tcMar>
          </w:tcPr>
          <w:p w14:paraId="138F70D9" w14:textId="77777777" w:rsidR="00782DF4" w:rsidRPr="0068633A" w:rsidRDefault="00782DF4" w:rsidP="00C148F1">
            <w:pPr>
              <w:pStyle w:val="Mainbodycopy"/>
              <w:spacing w:line="240" w:lineRule="auto"/>
              <w:rPr>
                <w:rFonts w:eastAsia="Calibri" w:cs="Arial"/>
                <w:color w:val="000000" w:themeColor="text1"/>
              </w:rPr>
            </w:pPr>
          </w:p>
        </w:tc>
        <w:tc>
          <w:tcPr>
            <w:tcW w:w="4050" w:type="dxa"/>
            <w:tcBorders>
              <w:top w:val="nil"/>
              <w:left w:val="single" w:sz="8" w:space="0" w:color="9A9A9A"/>
              <w:bottom w:val="nil"/>
              <w:right w:val="single" w:sz="8" w:space="0" w:color="9A9A9A"/>
            </w:tcBorders>
            <w:tcMar>
              <w:top w:w="100" w:type="nil"/>
              <w:left w:w="20" w:type="nil"/>
              <w:bottom w:w="20" w:type="nil"/>
              <w:right w:w="100" w:type="nil"/>
            </w:tcMar>
          </w:tcPr>
          <w:p w14:paraId="00E8E624" w14:textId="77777777" w:rsidR="00782DF4" w:rsidRPr="0068633A" w:rsidRDefault="00782DF4" w:rsidP="00C148F1">
            <w:pPr>
              <w:spacing w:after="0" w:line="240" w:lineRule="auto"/>
              <w:rPr>
                <w:rFonts w:ascii="Arial" w:hAnsi="Arial" w:cs="Arial"/>
                <w:b/>
                <w:bCs/>
                <w:color w:val="000000"/>
                <w:sz w:val="20"/>
                <w:szCs w:val="20"/>
              </w:rPr>
            </w:pPr>
            <w:r>
              <w:rPr>
                <w:rFonts w:ascii="Arial" w:hAnsi="Arial" w:cs="Arial"/>
                <w:b/>
                <w:bCs/>
                <w:color w:val="000000"/>
                <w:sz w:val="20"/>
                <w:szCs w:val="20"/>
              </w:rPr>
              <w:t>Ifeanyichukwu Eke</w:t>
            </w:r>
          </w:p>
          <w:p w14:paraId="01D19420" w14:textId="77777777" w:rsidR="00782DF4" w:rsidRDefault="00782DF4" w:rsidP="00C148F1">
            <w:pPr>
              <w:spacing w:after="0" w:line="240" w:lineRule="auto"/>
              <w:rPr>
                <w:rFonts w:ascii="Arial" w:hAnsi="Arial" w:cs="Arial"/>
                <w:color w:val="595959"/>
                <w:sz w:val="18"/>
                <w:szCs w:val="20"/>
              </w:rPr>
            </w:pPr>
            <w:r>
              <w:rPr>
                <w:rFonts w:ascii="Arial" w:hAnsi="Arial" w:cs="Arial"/>
                <w:color w:val="595959"/>
                <w:sz w:val="18"/>
                <w:szCs w:val="20"/>
              </w:rPr>
              <w:t xml:space="preserve">Stanford University </w:t>
            </w:r>
          </w:p>
          <w:p w14:paraId="602C4712" w14:textId="77777777" w:rsidR="00782DF4" w:rsidRPr="0068633A" w:rsidRDefault="00782DF4" w:rsidP="00C148F1">
            <w:pPr>
              <w:spacing w:after="0" w:line="240" w:lineRule="auto"/>
              <w:rPr>
                <w:rFonts w:ascii="Arial" w:eastAsia="Calibri" w:hAnsi="Arial" w:cs="Arial"/>
                <w:b/>
                <w:color w:val="000000" w:themeColor="text1"/>
                <w:sz w:val="20"/>
                <w:szCs w:val="20"/>
              </w:rPr>
            </w:pPr>
            <w:r>
              <w:rPr>
                <w:rFonts w:ascii="Arial" w:hAnsi="Arial" w:cs="Arial"/>
                <w:color w:val="595959"/>
                <w:sz w:val="18"/>
                <w:szCs w:val="20"/>
              </w:rPr>
              <w:t xml:space="preserve">Postdoctoral Scholar, Department of Pathology, </w:t>
            </w:r>
          </w:p>
        </w:tc>
        <w:tc>
          <w:tcPr>
            <w:tcW w:w="3960" w:type="dxa"/>
            <w:tcBorders>
              <w:top w:val="nil"/>
              <w:left w:val="single" w:sz="8" w:space="0" w:color="9A9A9A"/>
              <w:bottom w:val="nil"/>
              <w:right w:val="single" w:sz="8" w:space="0" w:color="9A9A9A"/>
            </w:tcBorders>
            <w:tcMar>
              <w:top w:w="100" w:type="nil"/>
              <w:left w:w="20" w:type="nil"/>
              <w:bottom w:w="20" w:type="nil"/>
              <w:right w:w="100" w:type="nil"/>
            </w:tcMar>
          </w:tcPr>
          <w:p w14:paraId="1DAF72C4" w14:textId="77777777" w:rsidR="00782DF4" w:rsidRPr="0068633A" w:rsidRDefault="00782DF4" w:rsidP="00C148F1">
            <w:pPr>
              <w:spacing w:after="0" w:line="240" w:lineRule="auto"/>
              <w:rPr>
                <w:rFonts w:ascii="Arial" w:eastAsia="Calibri" w:hAnsi="Arial" w:cs="Arial"/>
                <w:color w:val="000000" w:themeColor="text1"/>
                <w:sz w:val="20"/>
                <w:szCs w:val="20"/>
              </w:rPr>
            </w:pPr>
            <w:r>
              <w:rPr>
                <w:rFonts w:ascii="Arial" w:hAnsi="Arial" w:cs="Arial"/>
                <w:i/>
                <w:color w:val="000000"/>
                <w:sz w:val="20"/>
                <w:szCs w:val="20"/>
              </w:rPr>
              <w:t>Alkyl-aryl phosphonates as covalent inhibitors of mycobacterial serine protease Hip1</w:t>
            </w:r>
          </w:p>
        </w:tc>
      </w:tr>
      <w:tr w:rsidR="00782DF4" w:rsidRPr="00475A08" w14:paraId="2D529B6B" w14:textId="77777777" w:rsidTr="00C148F1">
        <w:tblPrEx>
          <w:tblBorders>
            <w:top w:val="none" w:sz="0" w:space="0" w:color="auto"/>
          </w:tblBorders>
        </w:tblPrEx>
        <w:trPr>
          <w:cantSplit/>
        </w:trPr>
        <w:tc>
          <w:tcPr>
            <w:tcW w:w="1998" w:type="dxa"/>
            <w:tcBorders>
              <w:top w:val="nil"/>
              <w:left w:val="single" w:sz="8" w:space="0" w:color="9A9A9A"/>
              <w:bottom w:val="nil"/>
              <w:right w:val="single" w:sz="8" w:space="0" w:color="9A9A9A"/>
            </w:tcBorders>
            <w:tcMar>
              <w:top w:w="100" w:type="nil"/>
              <w:left w:w="20" w:type="nil"/>
              <w:bottom w:w="20" w:type="nil"/>
              <w:right w:w="100" w:type="nil"/>
            </w:tcMar>
          </w:tcPr>
          <w:p w14:paraId="1C78EBB6" w14:textId="77777777" w:rsidR="00782DF4" w:rsidRPr="0068633A" w:rsidRDefault="00782DF4" w:rsidP="00C148F1">
            <w:pPr>
              <w:pStyle w:val="Mainbodycopy"/>
              <w:spacing w:line="240" w:lineRule="auto"/>
              <w:rPr>
                <w:rFonts w:eastAsia="Calibri" w:cs="Arial"/>
                <w:color w:val="000000" w:themeColor="text1"/>
              </w:rPr>
            </w:pPr>
          </w:p>
        </w:tc>
        <w:tc>
          <w:tcPr>
            <w:tcW w:w="4050" w:type="dxa"/>
            <w:tcBorders>
              <w:top w:val="nil"/>
              <w:left w:val="single" w:sz="8" w:space="0" w:color="9A9A9A"/>
              <w:bottom w:val="nil"/>
              <w:right w:val="single" w:sz="8" w:space="0" w:color="9A9A9A"/>
            </w:tcBorders>
            <w:tcMar>
              <w:top w:w="100" w:type="nil"/>
              <w:left w:w="20" w:type="nil"/>
              <w:bottom w:w="20" w:type="nil"/>
              <w:right w:w="100" w:type="nil"/>
            </w:tcMar>
          </w:tcPr>
          <w:p w14:paraId="65F7731E" w14:textId="77777777" w:rsidR="00782DF4" w:rsidRPr="0068633A" w:rsidRDefault="00782DF4" w:rsidP="00C148F1">
            <w:pPr>
              <w:spacing w:after="0" w:line="240" w:lineRule="auto"/>
              <w:rPr>
                <w:rFonts w:ascii="Arial" w:eastAsia="Aptos" w:hAnsi="Arial" w:cs="Arial"/>
                <w:b/>
                <w:bCs/>
                <w:color w:val="000000" w:themeColor="text1"/>
                <w:sz w:val="20"/>
                <w:szCs w:val="20"/>
              </w:rPr>
            </w:pPr>
            <w:r>
              <w:rPr>
                <w:rFonts w:ascii="Arial" w:eastAsia="Aptos" w:hAnsi="Arial" w:cs="Arial"/>
                <w:b/>
                <w:bCs/>
                <w:color w:val="000000" w:themeColor="text1"/>
                <w:sz w:val="20"/>
                <w:szCs w:val="20"/>
              </w:rPr>
              <w:t>Isabel Lamb-Echegaray</w:t>
            </w:r>
          </w:p>
          <w:p w14:paraId="6108231C" w14:textId="77777777" w:rsidR="00782DF4" w:rsidRDefault="00782DF4" w:rsidP="00C148F1">
            <w:pPr>
              <w:spacing w:after="0" w:line="240" w:lineRule="auto"/>
              <w:rPr>
                <w:rFonts w:ascii="Arial" w:eastAsia="Aptos" w:hAnsi="Arial" w:cs="Arial"/>
                <w:color w:val="595959"/>
                <w:sz w:val="18"/>
                <w:szCs w:val="20"/>
              </w:rPr>
            </w:pPr>
            <w:r w:rsidRPr="00156278">
              <w:rPr>
                <w:rFonts w:ascii="Arial" w:eastAsia="Aptos" w:hAnsi="Arial" w:cs="Arial"/>
                <w:color w:val="595959"/>
                <w:sz w:val="18"/>
                <w:szCs w:val="20"/>
              </w:rPr>
              <w:t>University of California, Berkeley</w:t>
            </w:r>
          </w:p>
          <w:p w14:paraId="1037C184" w14:textId="77777777" w:rsidR="00782DF4" w:rsidRPr="0068633A" w:rsidRDefault="00782DF4" w:rsidP="00C148F1">
            <w:pPr>
              <w:spacing w:after="0" w:line="240" w:lineRule="auto"/>
              <w:rPr>
                <w:rFonts w:ascii="Arial" w:eastAsia="Aptos" w:hAnsi="Arial" w:cs="Arial"/>
                <w:color w:val="000000" w:themeColor="text1"/>
                <w:sz w:val="20"/>
                <w:szCs w:val="20"/>
              </w:rPr>
            </w:pPr>
            <w:r>
              <w:rPr>
                <w:rFonts w:ascii="Arial" w:eastAsia="Aptos" w:hAnsi="Arial" w:cs="Arial"/>
                <w:color w:val="595959"/>
                <w:sz w:val="18"/>
                <w:szCs w:val="20"/>
              </w:rPr>
              <w:t>PhD Candidate, Public Health Department</w:t>
            </w:r>
          </w:p>
        </w:tc>
        <w:tc>
          <w:tcPr>
            <w:tcW w:w="3960" w:type="dxa"/>
            <w:tcBorders>
              <w:top w:val="nil"/>
              <w:left w:val="single" w:sz="8" w:space="0" w:color="9A9A9A"/>
              <w:bottom w:val="nil"/>
              <w:right w:val="single" w:sz="8" w:space="0" w:color="9A9A9A"/>
            </w:tcBorders>
            <w:tcMar>
              <w:top w:w="100" w:type="nil"/>
              <w:left w:w="20" w:type="nil"/>
              <w:bottom w:w="20" w:type="nil"/>
              <w:right w:w="100" w:type="nil"/>
            </w:tcMar>
          </w:tcPr>
          <w:p w14:paraId="46079E59" w14:textId="77777777" w:rsidR="00782DF4" w:rsidRPr="0068633A" w:rsidRDefault="00782DF4" w:rsidP="00C148F1">
            <w:pPr>
              <w:spacing w:after="0" w:line="240" w:lineRule="auto"/>
              <w:rPr>
                <w:rFonts w:ascii="Arial" w:eastAsia="Aptos" w:hAnsi="Arial" w:cs="Arial"/>
                <w:color w:val="000000" w:themeColor="text1"/>
                <w:sz w:val="20"/>
                <w:szCs w:val="20"/>
              </w:rPr>
            </w:pPr>
            <w:r>
              <w:rPr>
                <w:rFonts w:ascii="Arial" w:hAnsi="Arial" w:cs="Arial"/>
                <w:i/>
                <w:color w:val="000000"/>
                <w:sz w:val="20"/>
                <w:szCs w:val="20"/>
              </w:rPr>
              <w:t>Elucidating the mechanisms and correlates of protection elicited by CDN adjuvanted vaccines for M. tuberculosis</w:t>
            </w:r>
          </w:p>
        </w:tc>
      </w:tr>
      <w:tr w:rsidR="00782DF4" w:rsidRPr="00475A08" w14:paraId="6F72DD39" w14:textId="77777777" w:rsidTr="00C148F1">
        <w:tblPrEx>
          <w:tblBorders>
            <w:top w:val="none" w:sz="0" w:space="0" w:color="auto"/>
          </w:tblBorders>
        </w:tblPrEx>
        <w:trPr>
          <w:cantSplit/>
          <w:trHeight w:val="972"/>
        </w:trPr>
        <w:tc>
          <w:tcPr>
            <w:tcW w:w="1998" w:type="dxa"/>
            <w:tcBorders>
              <w:top w:val="nil"/>
              <w:left w:val="single" w:sz="8" w:space="0" w:color="9A9A9A"/>
              <w:bottom w:val="single" w:sz="8" w:space="0" w:color="9A9A9A"/>
              <w:right w:val="single" w:sz="8" w:space="0" w:color="9A9A9A"/>
            </w:tcBorders>
            <w:tcMar>
              <w:top w:w="100" w:type="nil"/>
              <w:left w:w="20" w:type="nil"/>
              <w:bottom w:w="20" w:type="nil"/>
              <w:right w:w="100" w:type="nil"/>
            </w:tcMar>
          </w:tcPr>
          <w:p w14:paraId="55211E9A" w14:textId="77777777" w:rsidR="00782DF4" w:rsidRPr="0068633A" w:rsidRDefault="00782DF4" w:rsidP="00C148F1">
            <w:pPr>
              <w:pStyle w:val="Mainbodycopy"/>
              <w:spacing w:line="240" w:lineRule="auto"/>
              <w:rPr>
                <w:rFonts w:eastAsia="Calibri" w:cs="Arial"/>
                <w:color w:val="000000" w:themeColor="text1"/>
              </w:rPr>
            </w:pPr>
          </w:p>
        </w:tc>
        <w:tc>
          <w:tcPr>
            <w:tcW w:w="4050" w:type="dxa"/>
            <w:tcBorders>
              <w:top w:val="nil"/>
              <w:left w:val="single" w:sz="8" w:space="0" w:color="9A9A9A"/>
              <w:bottom w:val="single" w:sz="8" w:space="0" w:color="9A9A9A"/>
              <w:right w:val="single" w:sz="8" w:space="0" w:color="9A9A9A"/>
            </w:tcBorders>
            <w:tcMar>
              <w:top w:w="100" w:type="nil"/>
              <w:left w:w="20" w:type="nil"/>
              <w:bottom w:w="20" w:type="nil"/>
              <w:right w:w="100" w:type="nil"/>
            </w:tcMar>
          </w:tcPr>
          <w:p w14:paraId="729FE5C4" w14:textId="77777777" w:rsidR="00782DF4" w:rsidRPr="0068633A" w:rsidRDefault="00782DF4" w:rsidP="00C148F1">
            <w:pPr>
              <w:spacing w:after="0" w:line="240" w:lineRule="auto"/>
              <w:rPr>
                <w:rFonts w:ascii="Arial" w:eastAsia="Aptos" w:hAnsi="Arial" w:cs="Arial"/>
                <w:b/>
                <w:bCs/>
                <w:color w:val="000000" w:themeColor="text1"/>
                <w:sz w:val="20"/>
                <w:szCs w:val="20"/>
              </w:rPr>
            </w:pPr>
            <w:r>
              <w:rPr>
                <w:rFonts w:ascii="Arial" w:eastAsia="Aptos" w:hAnsi="Arial" w:cs="Arial"/>
                <w:b/>
                <w:bCs/>
                <w:color w:val="000000" w:themeColor="text1"/>
                <w:sz w:val="20"/>
                <w:szCs w:val="20"/>
              </w:rPr>
              <w:t>Christopher Rae</w:t>
            </w:r>
          </w:p>
          <w:p w14:paraId="7B3E78A6" w14:textId="77777777" w:rsidR="00782DF4" w:rsidRDefault="00782DF4" w:rsidP="00C148F1">
            <w:pPr>
              <w:spacing w:after="0" w:line="240" w:lineRule="auto"/>
              <w:rPr>
                <w:rFonts w:ascii="Arial" w:eastAsia="Aptos" w:hAnsi="Arial" w:cs="Arial"/>
                <w:color w:val="595959"/>
                <w:sz w:val="18"/>
                <w:szCs w:val="20"/>
              </w:rPr>
            </w:pPr>
            <w:r w:rsidRPr="00156278">
              <w:rPr>
                <w:rFonts w:ascii="Arial" w:eastAsia="Aptos" w:hAnsi="Arial" w:cs="Arial"/>
                <w:color w:val="595959"/>
                <w:sz w:val="18"/>
                <w:szCs w:val="20"/>
              </w:rPr>
              <w:t>University of California, Berkeley</w:t>
            </w:r>
          </w:p>
          <w:p w14:paraId="26A78074" w14:textId="77777777" w:rsidR="00782DF4" w:rsidRPr="0068633A" w:rsidRDefault="00782DF4" w:rsidP="00C148F1">
            <w:pPr>
              <w:spacing w:after="0" w:line="240" w:lineRule="auto"/>
              <w:rPr>
                <w:rFonts w:ascii="Arial" w:eastAsia="Aptos" w:hAnsi="Arial" w:cs="Arial"/>
                <w:color w:val="000000" w:themeColor="text1"/>
                <w:sz w:val="20"/>
                <w:szCs w:val="20"/>
              </w:rPr>
            </w:pPr>
            <w:r>
              <w:rPr>
                <w:rFonts w:ascii="Arial" w:eastAsia="Aptos" w:hAnsi="Arial" w:cs="Arial"/>
                <w:color w:val="595959"/>
                <w:sz w:val="18"/>
                <w:szCs w:val="20"/>
              </w:rPr>
              <w:t>Postdoctoral Researcher, Division of Biochemistry, Biophysics and Structural Biology</w:t>
            </w:r>
          </w:p>
        </w:tc>
        <w:tc>
          <w:tcPr>
            <w:tcW w:w="3960" w:type="dxa"/>
            <w:tcBorders>
              <w:top w:val="nil"/>
              <w:left w:val="single" w:sz="8" w:space="0" w:color="9A9A9A"/>
              <w:bottom w:val="single" w:sz="8" w:space="0" w:color="9A9A9A"/>
              <w:right w:val="single" w:sz="8" w:space="0" w:color="9A9A9A"/>
            </w:tcBorders>
            <w:tcMar>
              <w:top w:w="100" w:type="nil"/>
              <w:left w:w="20" w:type="nil"/>
              <w:bottom w:w="20" w:type="nil"/>
              <w:right w:w="100" w:type="nil"/>
            </w:tcMar>
          </w:tcPr>
          <w:p w14:paraId="02F79745" w14:textId="77777777" w:rsidR="00782DF4" w:rsidRPr="0068633A" w:rsidRDefault="00782DF4" w:rsidP="00C148F1">
            <w:pPr>
              <w:spacing w:after="0" w:line="240" w:lineRule="auto"/>
              <w:rPr>
                <w:rFonts w:ascii="Arial" w:eastAsia="Aptos" w:hAnsi="Arial" w:cs="Arial"/>
                <w:color w:val="000000" w:themeColor="text1"/>
                <w:sz w:val="20"/>
                <w:szCs w:val="20"/>
              </w:rPr>
            </w:pPr>
            <w:r>
              <w:rPr>
                <w:rFonts w:ascii="Arial" w:hAnsi="Arial" w:cs="Arial"/>
                <w:i/>
                <w:color w:val="000000"/>
                <w:sz w:val="20"/>
                <w:szCs w:val="20"/>
              </w:rPr>
              <w:t xml:space="preserve">Preliminary discovery of novel inhibitors of Mycobacterium tuberculosis from rare </w:t>
            </w:r>
            <w:proofErr w:type="spellStart"/>
            <w:r>
              <w:rPr>
                <w:rFonts w:ascii="Arial" w:hAnsi="Arial" w:cs="Arial"/>
                <w:i/>
                <w:color w:val="000000"/>
                <w:sz w:val="20"/>
                <w:szCs w:val="20"/>
              </w:rPr>
              <w:t>Actinomycetota</w:t>
            </w:r>
            <w:proofErr w:type="spellEnd"/>
            <w:r>
              <w:rPr>
                <w:rFonts w:ascii="Arial" w:hAnsi="Arial" w:cs="Arial"/>
                <w:i/>
                <w:color w:val="000000"/>
                <w:sz w:val="20"/>
                <w:szCs w:val="20"/>
              </w:rPr>
              <w:t xml:space="preserve"> soil bacteria</w:t>
            </w:r>
          </w:p>
        </w:tc>
      </w:tr>
      <w:tr w:rsidR="00782DF4" w:rsidRPr="00475A08" w14:paraId="11AD011C" w14:textId="77777777" w:rsidTr="00C148F1">
        <w:tblPrEx>
          <w:tblBorders>
            <w:top w:val="none" w:sz="0" w:space="0" w:color="auto"/>
          </w:tblBorders>
        </w:tblPrEx>
        <w:trPr>
          <w:cantSplit/>
        </w:trPr>
        <w:tc>
          <w:tcPr>
            <w:tcW w:w="1998" w:type="dxa"/>
            <w:tcBorders>
              <w:top w:val="single" w:sz="8" w:space="0" w:color="9A9A9A"/>
              <w:left w:val="single" w:sz="8" w:space="0" w:color="9A9A9A"/>
              <w:bottom w:val="single" w:sz="8" w:space="0" w:color="9A9A9A"/>
              <w:right w:val="single" w:sz="8" w:space="0" w:color="9A9A9A"/>
            </w:tcBorders>
            <w:shd w:val="clear" w:color="auto" w:fill="F2F2F2" w:themeFill="background1" w:themeFillShade="F2"/>
            <w:tcMar>
              <w:top w:w="100" w:type="nil"/>
              <w:left w:w="20" w:type="nil"/>
              <w:bottom w:w="20" w:type="nil"/>
              <w:right w:w="100" w:type="nil"/>
            </w:tcMar>
          </w:tcPr>
          <w:p w14:paraId="249DC587" w14:textId="77777777" w:rsidR="00782DF4" w:rsidRPr="0068633A" w:rsidRDefault="00782DF4" w:rsidP="00C148F1">
            <w:pPr>
              <w:pStyle w:val="Mainbodycopy"/>
              <w:spacing w:line="240" w:lineRule="auto"/>
              <w:rPr>
                <w:rFonts w:eastAsia="Calibri" w:cs="Arial"/>
                <w:color w:val="000000" w:themeColor="text1"/>
              </w:rPr>
            </w:pPr>
            <w:r>
              <w:rPr>
                <w:rFonts w:eastAsia="Calibri" w:cs="Arial"/>
                <w:color w:val="000000" w:themeColor="text1"/>
              </w:rPr>
              <w:t>12:30-1:00pm</w:t>
            </w:r>
          </w:p>
        </w:tc>
        <w:tc>
          <w:tcPr>
            <w:tcW w:w="8010" w:type="dxa"/>
            <w:gridSpan w:val="2"/>
            <w:tcBorders>
              <w:top w:val="single" w:sz="8" w:space="0" w:color="9A9A9A"/>
              <w:left w:val="single" w:sz="8" w:space="0" w:color="9A9A9A"/>
              <w:bottom w:val="single" w:sz="8" w:space="0" w:color="9A9A9A"/>
              <w:right w:val="single" w:sz="8" w:space="0" w:color="9A9A9A"/>
            </w:tcBorders>
            <w:shd w:val="clear" w:color="auto" w:fill="F2F2F2" w:themeFill="background1" w:themeFillShade="F2"/>
            <w:tcMar>
              <w:top w:w="100" w:type="nil"/>
              <w:left w:w="20" w:type="nil"/>
              <w:bottom w:w="20" w:type="nil"/>
              <w:right w:w="100" w:type="nil"/>
            </w:tcMar>
          </w:tcPr>
          <w:p w14:paraId="53AF9326" w14:textId="77777777" w:rsidR="00782DF4" w:rsidRDefault="00782DF4" w:rsidP="00C148F1">
            <w:pPr>
              <w:spacing w:after="0" w:line="240" w:lineRule="auto"/>
              <w:rPr>
                <w:rFonts w:ascii="Arial" w:hAnsi="Arial" w:cs="Arial"/>
                <w:color w:val="000000"/>
                <w:sz w:val="20"/>
                <w:szCs w:val="20"/>
              </w:rPr>
            </w:pPr>
            <w:r>
              <w:rPr>
                <w:rFonts w:ascii="Arial" w:eastAsia="Calibri" w:hAnsi="Arial" w:cs="Arial"/>
                <w:b/>
                <w:bCs/>
                <w:color w:val="000000" w:themeColor="text1"/>
                <w:sz w:val="20"/>
                <w:szCs w:val="20"/>
              </w:rPr>
              <w:t>Lunch</w:t>
            </w:r>
          </w:p>
        </w:tc>
      </w:tr>
      <w:tr w:rsidR="00782DF4" w:rsidRPr="00475A08" w14:paraId="02A657F6" w14:textId="77777777" w:rsidTr="00C148F1">
        <w:tblPrEx>
          <w:tblBorders>
            <w:top w:val="none" w:sz="0" w:space="0" w:color="auto"/>
          </w:tblBorders>
        </w:tblPrEx>
        <w:trPr>
          <w:cantSplit/>
        </w:trPr>
        <w:tc>
          <w:tcPr>
            <w:tcW w:w="1998" w:type="dxa"/>
            <w:tcBorders>
              <w:top w:val="single" w:sz="8" w:space="0" w:color="9A9A9A"/>
              <w:left w:val="single" w:sz="8" w:space="0" w:color="9A9A9A"/>
              <w:bottom w:val="single" w:sz="8" w:space="0" w:color="9A9A9A"/>
              <w:right w:val="single" w:sz="8" w:space="0" w:color="9A9A9A"/>
            </w:tcBorders>
            <w:shd w:val="clear" w:color="auto" w:fill="F2F2F2" w:themeFill="background1" w:themeFillShade="F2"/>
            <w:tcMar>
              <w:top w:w="100" w:type="nil"/>
              <w:left w:w="20" w:type="nil"/>
              <w:bottom w:w="20" w:type="nil"/>
              <w:right w:w="100" w:type="nil"/>
            </w:tcMar>
          </w:tcPr>
          <w:p w14:paraId="35103CA8" w14:textId="77777777" w:rsidR="00782DF4" w:rsidRPr="0068633A" w:rsidRDefault="00782DF4" w:rsidP="00C148F1">
            <w:pPr>
              <w:pStyle w:val="Mainbodycopy"/>
              <w:spacing w:line="240" w:lineRule="auto"/>
              <w:rPr>
                <w:rFonts w:eastAsia="Calibri" w:cs="Arial"/>
                <w:color w:val="000000" w:themeColor="text1"/>
              </w:rPr>
            </w:pPr>
            <w:r>
              <w:rPr>
                <w:rFonts w:eastAsia="Calibri" w:cs="Arial"/>
                <w:color w:val="000000" w:themeColor="text1"/>
              </w:rPr>
              <w:t>1:00-2:00pm</w:t>
            </w:r>
          </w:p>
        </w:tc>
        <w:tc>
          <w:tcPr>
            <w:tcW w:w="8010" w:type="dxa"/>
            <w:gridSpan w:val="2"/>
            <w:tcBorders>
              <w:top w:val="single" w:sz="8" w:space="0" w:color="9A9A9A"/>
              <w:left w:val="single" w:sz="8" w:space="0" w:color="9A9A9A"/>
              <w:bottom w:val="single" w:sz="8" w:space="0" w:color="9A9A9A"/>
              <w:right w:val="single" w:sz="8" w:space="0" w:color="9A9A9A"/>
            </w:tcBorders>
            <w:shd w:val="clear" w:color="auto" w:fill="F2F2F2" w:themeFill="background1" w:themeFillShade="F2"/>
            <w:tcMar>
              <w:top w:w="100" w:type="nil"/>
              <w:left w:w="20" w:type="nil"/>
              <w:bottom w:w="20" w:type="nil"/>
              <w:right w:w="100" w:type="nil"/>
            </w:tcMar>
          </w:tcPr>
          <w:p w14:paraId="4AF3B652" w14:textId="77777777" w:rsidR="00782DF4" w:rsidRDefault="00782DF4" w:rsidP="00C148F1">
            <w:pPr>
              <w:spacing w:after="0" w:line="240" w:lineRule="auto"/>
              <w:rPr>
                <w:rFonts w:ascii="Arial" w:hAnsi="Arial" w:cs="Arial"/>
                <w:color w:val="000000"/>
                <w:sz w:val="20"/>
                <w:szCs w:val="20"/>
              </w:rPr>
            </w:pPr>
            <w:r>
              <w:rPr>
                <w:rFonts w:ascii="Arial" w:eastAsia="Calibri" w:hAnsi="Arial" w:cs="Arial"/>
                <w:b/>
                <w:bCs/>
                <w:color w:val="000000" w:themeColor="text1"/>
                <w:sz w:val="20"/>
                <w:szCs w:val="20"/>
              </w:rPr>
              <w:t>Poster session</w:t>
            </w:r>
          </w:p>
        </w:tc>
      </w:tr>
      <w:tr w:rsidR="00782DF4" w:rsidRPr="00475A08" w14:paraId="4C75CFFB" w14:textId="77777777" w:rsidTr="00C148F1">
        <w:tblPrEx>
          <w:tblBorders>
            <w:top w:val="none" w:sz="0" w:space="0" w:color="auto"/>
          </w:tblBorders>
        </w:tblPrEx>
        <w:trPr>
          <w:cantSplit/>
        </w:trPr>
        <w:tc>
          <w:tcPr>
            <w:tcW w:w="1998" w:type="dxa"/>
            <w:tcBorders>
              <w:top w:val="single" w:sz="8" w:space="0" w:color="9A9A9A"/>
              <w:left w:val="single" w:sz="8" w:space="0" w:color="9A9A9A"/>
              <w:bottom w:val="nil"/>
              <w:right w:val="single" w:sz="8" w:space="0" w:color="9A9A9A"/>
            </w:tcBorders>
            <w:shd w:val="clear" w:color="auto" w:fill="D9E2F3" w:themeFill="accent1" w:themeFillTint="33"/>
            <w:tcMar>
              <w:top w:w="100" w:type="nil"/>
              <w:left w:w="20" w:type="nil"/>
              <w:bottom w:w="20" w:type="nil"/>
              <w:right w:w="100" w:type="nil"/>
            </w:tcMar>
          </w:tcPr>
          <w:p w14:paraId="4289289F" w14:textId="77777777" w:rsidR="00782DF4" w:rsidRPr="0068633A" w:rsidRDefault="00782DF4" w:rsidP="00C148F1">
            <w:pPr>
              <w:pStyle w:val="Mainbodycopy"/>
              <w:spacing w:line="240" w:lineRule="auto"/>
              <w:rPr>
                <w:rFonts w:eastAsia="Calibri" w:cs="Arial"/>
                <w:color w:val="000000" w:themeColor="text1"/>
              </w:rPr>
            </w:pPr>
            <w:r>
              <w:rPr>
                <w:rFonts w:eastAsia="Calibri" w:cs="Arial"/>
                <w:color w:val="000000" w:themeColor="text1"/>
              </w:rPr>
              <w:t>2:00-3:00pm</w:t>
            </w:r>
          </w:p>
        </w:tc>
        <w:tc>
          <w:tcPr>
            <w:tcW w:w="4050" w:type="dxa"/>
            <w:tcBorders>
              <w:top w:val="single" w:sz="8" w:space="0" w:color="9A9A9A"/>
              <w:left w:val="single" w:sz="8" w:space="0" w:color="9A9A9A"/>
              <w:bottom w:val="nil"/>
              <w:right w:val="single" w:sz="8" w:space="0" w:color="9A9A9A"/>
            </w:tcBorders>
            <w:shd w:val="clear" w:color="auto" w:fill="D9E2F3" w:themeFill="accent1" w:themeFillTint="33"/>
            <w:tcMar>
              <w:top w:w="100" w:type="nil"/>
              <w:left w:w="20" w:type="nil"/>
              <w:bottom w:w="20" w:type="nil"/>
              <w:right w:w="100" w:type="nil"/>
            </w:tcMar>
          </w:tcPr>
          <w:p w14:paraId="22E834B5" w14:textId="77777777" w:rsidR="00782DF4" w:rsidRPr="0068633A" w:rsidRDefault="00782DF4" w:rsidP="00C148F1">
            <w:pPr>
              <w:spacing w:after="0" w:line="240" w:lineRule="auto"/>
              <w:rPr>
                <w:rFonts w:ascii="Arial" w:eastAsia="Calibri" w:hAnsi="Arial" w:cs="Arial"/>
                <w:b/>
                <w:bCs/>
                <w:color w:val="000000" w:themeColor="text1"/>
                <w:sz w:val="20"/>
                <w:szCs w:val="20"/>
              </w:rPr>
            </w:pPr>
            <w:r>
              <w:rPr>
                <w:rFonts w:ascii="Arial" w:eastAsia="Calibri" w:hAnsi="Arial" w:cs="Arial"/>
                <w:bCs/>
                <w:color w:val="595959"/>
                <w:sz w:val="18"/>
                <w:szCs w:val="20"/>
              </w:rPr>
              <w:t xml:space="preserve">Session moderator:  </w:t>
            </w:r>
          </w:p>
          <w:p w14:paraId="413ABF2C" w14:textId="77777777" w:rsidR="00782DF4" w:rsidRDefault="00782DF4" w:rsidP="00C148F1">
            <w:pPr>
              <w:spacing w:after="0" w:line="240" w:lineRule="auto"/>
              <w:rPr>
                <w:rFonts w:ascii="Arial" w:eastAsia="Calibri" w:hAnsi="Arial" w:cs="Arial"/>
                <w:color w:val="000000" w:themeColor="text1"/>
                <w:sz w:val="20"/>
                <w:szCs w:val="20"/>
              </w:rPr>
            </w:pPr>
            <w:r>
              <w:rPr>
                <w:rFonts w:ascii="Arial" w:eastAsia="Calibri" w:hAnsi="Arial" w:cs="Arial"/>
                <w:b/>
                <w:bCs/>
                <w:color w:val="000000" w:themeColor="text1"/>
                <w:sz w:val="20"/>
                <w:szCs w:val="20"/>
              </w:rPr>
              <w:t>Antonio J. Pagán</w:t>
            </w:r>
            <w:r>
              <w:rPr>
                <w:rFonts w:ascii="Arial" w:eastAsia="Calibri" w:hAnsi="Arial" w:cs="Arial"/>
                <w:color w:val="000000" w:themeColor="text1"/>
                <w:sz w:val="20"/>
                <w:szCs w:val="20"/>
              </w:rPr>
              <w:t xml:space="preserve">, PhD, </w:t>
            </w:r>
          </w:p>
          <w:p w14:paraId="05C4D667" w14:textId="77777777" w:rsidR="00782DF4" w:rsidRPr="00156278" w:rsidRDefault="00782DF4" w:rsidP="00C148F1">
            <w:pPr>
              <w:spacing w:after="0" w:line="240" w:lineRule="auto"/>
              <w:rPr>
                <w:rFonts w:ascii="Arial" w:eastAsia="Aptos" w:hAnsi="Arial" w:cs="Arial"/>
                <w:color w:val="595959"/>
                <w:sz w:val="18"/>
                <w:szCs w:val="20"/>
              </w:rPr>
            </w:pPr>
            <w:r w:rsidRPr="00156278">
              <w:rPr>
                <w:rFonts w:ascii="Arial" w:eastAsia="Aptos" w:hAnsi="Arial" w:cs="Arial"/>
                <w:color w:val="595959"/>
                <w:sz w:val="18"/>
                <w:szCs w:val="20"/>
              </w:rPr>
              <w:t>Stanford University</w:t>
            </w:r>
          </w:p>
          <w:p w14:paraId="6B61D19B" w14:textId="77777777" w:rsidR="00782DF4" w:rsidRPr="0068633A" w:rsidRDefault="00782DF4" w:rsidP="00C148F1">
            <w:pPr>
              <w:spacing w:after="0" w:line="240" w:lineRule="auto"/>
              <w:rPr>
                <w:rFonts w:ascii="Arial" w:eastAsia="Aptos" w:hAnsi="Arial" w:cs="Arial"/>
                <w:b/>
                <w:bCs/>
                <w:color w:val="000000" w:themeColor="text1"/>
                <w:sz w:val="20"/>
                <w:szCs w:val="20"/>
              </w:rPr>
            </w:pPr>
            <w:r w:rsidRPr="00156278">
              <w:rPr>
                <w:rFonts w:ascii="Arial" w:eastAsia="Aptos" w:hAnsi="Arial" w:cs="Arial"/>
                <w:color w:val="595959"/>
                <w:sz w:val="18"/>
                <w:szCs w:val="20"/>
              </w:rPr>
              <w:t>Assistant Professor, Department of Microbiology and Immunology</w:t>
            </w:r>
          </w:p>
        </w:tc>
        <w:tc>
          <w:tcPr>
            <w:tcW w:w="3960" w:type="dxa"/>
            <w:tcBorders>
              <w:top w:val="single" w:sz="8" w:space="0" w:color="9A9A9A"/>
              <w:left w:val="single" w:sz="8" w:space="0" w:color="9A9A9A"/>
              <w:bottom w:val="nil"/>
              <w:right w:val="single" w:sz="8" w:space="0" w:color="9A9A9A"/>
            </w:tcBorders>
            <w:shd w:val="clear" w:color="auto" w:fill="D9E2F3" w:themeFill="accent1" w:themeFillTint="33"/>
            <w:tcMar>
              <w:top w:w="100" w:type="nil"/>
              <w:left w:w="20" w:type="nil"/>
              <w:bottom w:w="20" w:type="nil"/>
              <w:right w:w="100" w:type="nil"/>
            </w:tcMar>
          </w:tcPr>
          <w:p w14:paraId="22B31D3F" w14:textId="77777777" w:rsidR="00782DF4" w:rsidRPr="0068633A" w:rsidRDefault="00782DF4" w:rsidP="00C148F1">
            <w:pPr>
              <w:spacing w:after="0" w:line="240" w:lineRule="auto"/>
              <w:rPr>
                <w:rFonts w:ascii="Arial" w:eastAsia="Aptos" w:hAnsi="Arial" w:cs="Arial"/>
                <w:color w:val="000000" w:themeColor="text1"/>
                <w:sz w:val="20"/>
                <w:szCs w:val="20"/>
              </w:rPr>
            </w:pPr>
            <w:r w:rsidRPr="006F72F4">
              <w:rPr>
                <w:rFonts w:ascii="Arial" w:eastAsia="Calibri" w:hAnsi="Arial" w:cs="Arial"/>
                <w:b/>
                <w:color w:val="002060"/>
                <w:sz w:val="20"/>
                <w:szCs w:val="20"/>
              </w:rPr>
              <w:t>Invited talks</w:t>
            </w:r>
          </w:p>
        </w:tc>
      </w:tr>
      <w:tr w:rsidR="00782DF4" w:rsidRPr="00B856E1" w14:paraId="50DA5E4C" w14:textId="77777777" w:rsidTr="00C148F1">
        <w:tblPrEx>
          <w:tblBorders>
            <w:top w:val="none" w:sz="0" w:space="0" w:color="auto"/>
          </w:tblBorders>
        </w:tblPrEx>
        <w:trPr>
          <w:cantSplit/>
        </w:trPr>
        <w:tc>
          <w:tcPr>
            <w:tcW w:w="1998" w:type="dxa"/>
            <w:tcBorders>
              <w:top w:val="nil"/>
              <w:left w:val="single" w:sz="8" w:space="0" w:color="9A9A9A"/>
              <w:bottom w:val="nil"/>
              <w:right w:val="single" w:sz="8" w:space="0" w:color="9A9A9A"/>
            </w:tcBorders>
            <w:tcMar>
              <w:top w:w="100" w:type="nil"/>
              <w:left w:w="20" w:type="nil"/>
              <w:bottom w:w="20" w:type="nil"/>
              <w:right w:w="100" w:type="nil"/>
            </w:tcMar>
          </w:tcPr>
          <w:p w14:paraId="5EB89EB5" w14:textId="77777777" w:rsidR="00782DF4" w:rsidRPr="0068633A" w:rsidRDefault="00782DF4" w:rsidP="00C148F1">
            <w:pPr>
              <w:pStyle w:val="Mainbodycopy"/>
              <w:spacing w:line="240" w:lineRule="auto"/>
              <w:rPr>
                <w:rFonts w:eastAsia="Calibri" w:cs="Arial"/>
                <w:color w:val="000000" w:themeColor="text1"/>
              </w:rPr>
            </w:pPr>
          </w:p>
        </w:tc>
        <w:tc>
          <w:tcPr>
            <w:tcW w:w="4050" w:type="dxa"/>
            <w:tcBorders>
              <w:top w:val="nil"/>
              <w:left w:val="single" w:sz="8" w:space="0" w:color="9A9A9A"/>
              <w:bottom w:val="nil"/>
              <w:right w:val="single" w:sz="8" w:space="0" w:color="9A9A9A"/>
            </w:tcBorders>
            <w:tcMar>
              <w:top w:w="100" w:type="nil"/>
              <w:left w:w="20" w:type="nil"/>
              <w:bottom w:w="20" w:type="nil"/>
              <w:right w:w="100" w:type="nil"/>
            </w:tcMar>
          </w:tcPr>
          <w:p w14:paraId="6BAD6D61" w14:textId="77777777" w:rsidR="00782DF4" w:rsidRPr="0068633A" w:rsidRDefault="00782DF4" w:rsidP="00C148F1">
            <w:pPr>
              <w:spacing w:after="0" w:line="240" w:lineRule="auto"/>
              <w:rPr>
                <w:rFonts w:ascii="Arial" w:eastAsia="Aptos" w:hAnsi="Arial" w:cs="Arial"/>
                <w:b/>
                <w:bCs/>
                <w:color w:val="000000" w:themeColor="text1"/>
                <w:sz w:val="20"/>
                <w:szCs w:val="20"/>
              </w:rPr>
            </w:pPr>
            <w:r>
              <w:rPr>
                <w:rFonts w:ascii="Arial" w:eastAsia="Aptos" w:hAnsi="Arial" w:cs="Arial"/>
                <w:b/>
                <w:bCs/>
                <w:color w:val="000000" w:themeColor="text1"/>
                <w:sz w:val="20"/>
                <w:szCs w:val="20"/>
              </w:rPr>
              <w:t>Sophie Huddart</w:t>
            </w:r>
            <w:r>
              <w:rPr>
                <w:rFonts w:ascii="Arial" w:eastAsia="Aptos" w:hAnsi="Arial" w:cs="Arial"/>
                <w:bCs/>
                <w:color w:val="000000" w:themeColor="text1"/>
                <w:sz w:val="20"/>
                <w:szCs w:val="20"/>
              </w:rPr>
              <w:t>, PhD</w:t>
            </w:r>
          </w:p>
          <w:p w14:paraId="774A0417" w14:textId="77777777" w:rsidR="00782DF4" w:rsidRDefault="00782DF4" w:rsidP="00C148F1">
            <w:pPr>
              <w:spacing w:after="0" w:line="240" w:lineRule="auto"/>
              <w:rPr>
                <w:rFonts w:ascii="Arial" w:eastAsia="Calibri" w:hAnsi="Arial" w:cs="Arial"/>
                <w:color w:val="595959"/>
                <w:sz w:val="18"/>
                <w:szCs w:val="20"/>
              </w:rPr>
            </w:pPr>
            <w:r w:rsidRPr="00156278">
              <w:rPr>
                <w:rFonts w:ascii="Arial" w:eastAsia="Calibri" w:hAnsi="Arial" w:cs="Arial"/>
                <w:color w:val="595959"/>
                <w:sz w:val="18"/>
                <w:szCs w:val="20"/>
              </w:rPr>
              <w:t>University of California, San Francisco</w:t>
            </w:r>
            <w:r>
              <w:rPr>
                <w:rFonts w:ascii="Arial" w:eastAsia="Calibri" w:hAnsi="Arial" w:cs="Arial"/>
                <w:color w:val="595959"/>
                <w:sz w:val="18"/>
                <w:szCs w:val="20"/>
              </w:rPr>
              <w:t xml:space="preserve"> </w:t>
            </w:r>
          </w:p>
          <w:p w14:paraId="6D8BEF19" w14:textId="77777777" w:rsidR="00782DF4" w:rsidRDefault="00782DF4" w:rsidP="00C148F1">
            <w:pPr>
              <w:spacing w:after="0" w:line="240" w:lineRule="auto"/>
              <w:rPr>
                <w:rFonts w:ascii="Arial" w:hAnsi="Arial" w:cs="Arial"/>
                <w:color w:val="595959"/>
                <w:sz w:val="18"/>
                <w:szCs w:val="20"/>
              </w:rPr>
            </w:pPr>
            <w:r>
              <w:rPr>
                <w:rFonts w:ascii="Arial" w:hAnsi="Arial" w:cs="Arial"/>
                <w:color w:val="595959"/>
                <w:sz w:val="18"/>
                <w:szCs w:val="20"/>
              </w:rPr>
              <w:t>Assistant Professor, Department of Epidemiology and Biostatistics and IGHS</w:t>
            </w:r>
          </w:p>
          <w:p w14:paraId="2C607EF4" w14:textId="77777777" w:rsidR="00782DF4" w:rsidRDefault="00782DF4" w:rsidP="00C148F1">
            <w:pPr>
              <w:spacing w:after="0" w:line="240" w:lineRule="auto"/>
              <w:rPr>
                <w:rFonts w:ascii="Arial" w:hAnsi="Arial" w:cs="Arial"/>
                <w:color w:val="595959"/>
                <w:sz w:val="18"/>
                <w:szCs w:val="20"/>
              </w:rPr>
            </w:pPr>
          </w:p>
          <w:p w14:paraId="0CF32DA3" w14:textId="77777777" w:rsidR="00782DF4" w:rsidRDefault="00782DF4" w:rsidP="00C148F1">
            <w:pPr>
              <w:spacing w:after="0" w:line="240" w:lineRule="auto"/>
              <w:rPr>
                <w:rFonts w:ascii="Arial" w:eastAsia="Times New Roman" w:hAnsi="Arial" w:cs="Arial"/>
                <w:b/>
                <w:bCs/>
                <w:color w:val="111111"/>
                <w:sz w:val="20"/>
                <w:szCs w:val="20"/>
              </w:rPr>
            </w:pPr>
            <w:r>
              <w:rPr>
                <w:rFonts w:ascii="Arial" w:eastAsia="Calibri" w:hAnsi="Arial" w:cs="Arial"/>
                <w:bCs/>
                <w:iCs/>
                <w:color w:val="595959"/>
                <w:sz w:val="18"/>
                <w:szCs w:val="20"/>
              </w:rPr>
              <w:t>Award p</w:t>
            </w:r>
            <w:r w:rsidRPr="001814AC">
              <w:rPr>
                <w:rFonts w:ascii="Arial" w:eastAsia="Calibri" w:hAnsi="Arial" w:cs="Arial"/>
                <w:bCs/>
                <w:iCs/>
                <w:color w:val="595959"/>
                <w:sz w:val="18"/>
                <w:szCs w:val="20"/>
              </w:rPr>
              <w:t>resented by Adithya Cattamanchi and Devan Jaganath</w:t>
            </w:r>
          </w:p>
        </w:tc>
        <w:tc>
          <w:tcPr>
            <w:tcW w:w="3960" w:type="dxa"/>
            <w:tcBorders>
              <w:top w:val="nil"/>
              <w:left w:val="single" w:sz="8" w:space="0" w:color="9A9A9A"/>
              <w:bottom w:val="nil"/>
              <w:right w:val="single" w:sz="8" w:space="0" w:color="9A9A9A"/>
            </w:tcBorders>
            <w:tcMar>
              <w:top w:w="100" w:type="nil"/>
              <w:left w:w="20" w:type="nil"/>
              <w:bottom w:w="20" w:type="nil"/>
              <w:right w:w="100" w:type="nil"/>
            </w:tcMar>
          </w:tcPr>
          <w:p w14:paraId="682A7545" w14:textId="77777777" w:rsidR="00782DF4" w:rsidRPr="006F72F4" w:rsidRDefault="00782DF4" w:rsidP="00C148F1">
            <w:pPr>
              <w:rPr>
                <w:rFonts w:ascii="Arial" w:eastAsia="Calibri" w:hAnsi="Arial" w:cs="Arial"/>
                <w:b/>
                <w:bCs/>
                <w:color w:val="002060"/>
                <w:sz w:val="20"/>
                <w:szCs w:val="20"/>
              </w:rPr>
            </w:pPr>
            <w:r w:rsidRPr="006F72F4">
              <w:rPr>
                <w:rFonts w:ascii="Arial" w:eastAsia="Calibri" w:hAnsi="Arial" w:cs="Arial"/>
                <w:b/>
                <w:bCs/>
                <w:color w:val="002060"/>
                <w:sz w:val="20"/>
                <w:szCs w:val="20"/>
              </w:rPr>
              <w:t>Winner, 2026 BATS Rising Star Award</w:t>
            </w:r>
          </w:p>
          <w:p w14:paraId="3FE1B49A" w14:textId="77777777" w:rsidR="00782DF4" w:rsidRDefault="00782DF4" w:rsidP="00C148F1">
            <w:pPr>
              <w:spacing w:after="0" w:line="240" w:lineRule="auto"/>
              <w:rPr>
                <w:rFonts w:ascii="Arial" w:eastAsia="Times New Roman" w:hAnsi="Arial" w:cs="Arial"/>
                <w:i/>
                <w:color w:val="111111"/>
                <w:sz w:val="20"/>
                <w:szCs w:val="20"/>
              </w:rPr>
            </w:pPr>
            <w:r>
              <w:rPr>
                <w:rFonts w:ascii="Arial" w:hAnsi="Arial" w:cs="Arial"/>
                <w:i/>
                <w:color w:val="000000"/>
                <w:sz w:val="20"/>
                <w:szCs w:val="20"/>
              </w:rPr>
              <w:t>When the average is not average: Exploring trajectory-based analyses</w:t>
            </w:r>
          </w:p>
        </w:tc>
      </w:tr>
      <w:tr w:rsidR="00782DF4" w:rsidRPr="00475A08" w14:paraId="4205716B" w14:textId="77777777" w:rsidTr="00C148F1">
        <w:tblPrEx>
          <w:tblBorders>
            <w:top w:val="none" w:sz="0" w:space="0" w:color="auto"/>
          </w:tblBorders>
        </w:tblPrEx>
        <w:trPr>
          <w:cantSplit/>
        </w:trPr>
        <w:tc>
          <w:tcPr>
            <w:tcW w:w="1998" w:type="dxa"/>
            <w:tcBorders>
              <w:top w:val="nil"/>
              <w:left w:val="single" w:sz="8" w:space="0" w:color="9A9A9A"/>
              <w:bottom w:val="nil"/>
              <w:right w:val="single" w:sz="8" w:space="0" w:color="9A9A9A"/>
            </w:tcBorders>
            <w:tcMar>
              <w:top w:w="100" w:type="nil"/>
              <w:left w:w="20" w:type="nil"/>
              <w:bottom w:w="20" w:type="nil"/>
              <w:right w:w="100" w:type="nil"/>
            </w:tcMar>
          </w:tcPr>
          <w:p w14:paraId="64606818" w14:textId="77777777" w:rsidR="00782DF4" w:rsidRPr="0068633A" w:rsidRDefault="00782DF4" w:rsidP="00C148F1">
            <w:pPr>
              <w:pStyle w:val="Mainbodycopy"/>
              <w:spacing w:line="240" w:lineRule="auto"/>
              <w:rPr>
                <w:rFonts w:eastAsia="Calibri" w:cs="Arial"/>
                <w:color w:val="000000" w:themeColor="text1"/>
              </w:rPr>
            </w:pPr>
          </w:p>
        </w:tc>
        <w:tc>
          <w:tcPr>
            <w:tcW w:w="4050" w:type="dxa"/>
            <w:tcBorders>
              <w:top w:val="nil"/>
              <w:left w:val="single" w:sz="8" w:space="0" w:color="9A9A9A"/>
              <w:bottom w:val="nil"/>
              <w:right w:val="single" w:sz="8" w:space="0" w:color="9A9A9A"/>
            </w:tcBorders>
            <w:tcMar>
              <w:top w:w="100" w:type="nil"/>
              <w:left w:w="20" w:type="nil"/>
              <w:bottom w:w="20" w:type="nil"/>
              <w:right w:w="100" w:type="nil"/>
            </w:tcMar>
          </w:tcPr>
          <w:p w14:paraId="61863C6E" w14:textId="77777777" w:rsidR="00782DF4" w:rsidRDefault="00782DF4" w:rsidP="00C148F1">
            <w:pPr>
              <w:spacing w:after="0" w:line="240" w:lineRule="auto"/>
              <w:rPr>
                <w:rFonts w:ascii="Arial" w:eastAsia="Aptos" w:hAnsi="Arial" w:cs="Arial"/>
                <w:b/>
                <w:bCs/>
                <w:color w:val="000000" w:themeColor="text1"/>
                <w:sz w:val="20"/>
                <w:szCs w:val="20"/>
              </w:rPr>
            </w:pPr>
            <w:r>
              <w:rPr>
                <w:rFonts w:ascii="Arial" w:eastAsia="Times New Roman" w:hAnsi="Arial" w:cs="Arial"/>
                <w:b/>
                <w:bCs/>
                <w:color w:val="111111"/>
                <w:sz w:val="20"/>
                <w:szCs w:val="20"/>
              </w:rPr>
              <w:t>Janice Louie</w:t>
            </w:r>
            <w:r>
              <w:rPr>
                <w:rFonts w:ascii="Arial" w:eastAsia="Times New Roman" w:hAnsi="Arial" w:cs="Arial"/>
                <w:bCs/>
                <w:color w:val="111111"/>
                <w:sz w:val="20"/>
                <w:szCs w:val="20"/>
              </w:rPr>
              <w:t>, MD, MPH</w:t>
            </w:r>
            <w:r>
              <w:rPr>
                <w:rFonts w:ascii="Arial" w:hAnsi="Arial" w:cs="Arial"/>
                <w:color w:val="595959"/>
                <w:sz w:val="18"/>
                <w:szCs w:val="20"/>
              </w:rPr>
              <w:br/>
            </w:r>
            <w:r>
              <w:rPr>
                <w:rFonts w:ascii="Arial" w:eastAsia="Times New Roman" w:hAnsi="Arial" w:cs="Arial"/>
                <w:color w:val="595959"/>
                <w:sz w:val="18"/>
                <w:szCs w:val="20"/>
              </w:rPr>
              <w:t>San Francisco Department of Public Health</w:t>
            </w:r>
            <w:r>
              <w:rPr>
                <w:rFonts w:ascii="Arial" w:hAnsi="Arial" w:cs="Arial"/>
                <w:color w:val="595959"/>
                <w:sz w:val="18"/>
                <w:szCs w:val="20"/>
              </w:rPr>
              <w:br/>
            </w:r>
            <w:r>
              <w:rPr>
                <w:rFonts w:ascii="Arial" w:eastAsia="Times New Roman" w:hAnsi="Arial" w:cs="Arial"/>
                <w:color w:val="595959"/>
                <w:sz w:val="18"/>
                <w:szCs w:val="20"/>
              </w:rPr>
              <w:t>Medical Director, Tuberculosis Prevention and Control Program</w:t>
            </w:r>
          </w:p>
        </w:tc>
        <w:tc>
          <w:tcPr>
            <w:tcW w:w="3960" w:type="dxa"/>
            <w:tcBorders>
              <w:top w:val="nil"/>
              <w:left w:val="single" w:sz="8" w:space="0" w:color="9A9A9A"/>
              <w:bottom w:val="nil"/>
              <w:right w:val="single" w:sz="8" w:space="0" w:color="9A9A9A"/>
            </w:tcBorders>
            <w:tcMar>
              <w:top w:w="100" w:type="nil"/>
              <w:left w:w="20" w:type="nil"/>
              <w:bottom w:w="20" w:type="nil"/>
              <w:right w:w="100" w:type="nil"/>
            </w:tcMar>
          </w:tcPr>
          <w:p w14:paraId="75C92E63" w14:textId="77777777" w:rsidR="00782DF4" w:rsidRDefault="00782DF4" w:rsidP="00C148F1">
            <w:pPr>
              <w:spacing w:after="0" w:line="240" w:lineRule="auto"/>
              <w:rPr>
                <w:rFonts w:ascii="Arial" w:hAnsi="Arial" w:cs="Arial"/>
                <w:color w:val="000000"/>
                <w:sz w:val="20"/>
                <w:szCs w:val="20"/>
              </w:rPr>
            </w:pPr>
            <w:r>
              <w:rPr>
                <w:rFonts w:ascii="Arial" w:eastAsia="Times New Roman" w:hAnsi="Arial" w:cs="Arial"/>
                <w:i/>
                <w:color w:val="111111"/>
                <w:sz w:val="20"/>
                <w:szCs w:val="20"/>
              </w:rPr>
              <w:t>An Upside-Down Epidemic: Barriers to TB Care in a Resource-Rich Setting</w:t>
            </w:r>
          </w:p>
        </w:tc>
      </w:tr>
      <w:tr w:rsidR="00782DF4" w:rsidRPr="003C5501" w14:paraId="26D4B413" w14:textId="77777777" w:rsidTr="00C148F1">
        <w:tblPrEx>
          <w:tblBorders>
            <w:top w:val="none" w:sz="0" w:space="0" w:color="auto"/>
          </w:tblBorders>
        </w:tblPrEx>
        <w:trPr>
          <w:cantSplit/>
        </w:trPr>
        <w:tc>
          <w:tcPr>
            <w:tcW w:w="1998" w:type="dxa"/>
            <w:tcBorders>
              <w:top w:val="nil"/>
              <w:left w:val="single" w:sz="8" w:space="0" w:color="9A9A9A"/>
              <w:bottom w:val="single" w:sz="8" w:space="0" w:color="9A9A9A"/>
              <w:right w:val="single" w:sz="8" w:space="0" w:color="9A9A9A"/>
            </w:tcBorders>
            <w:tcMar>
              <w:top w:w="100" w:type="nil"/>
              <w:left w:w="20" w:type="nil"/>
              <w:bottom w:w="20" w:type="nil"/>
              <w:right w:w="100" w:type="nil"/>
            </w:tcMar>
          </w:tcPr>
          <w:p w14:paraId="65DCED76" w14:textId="77777777" w:rsidR="00782DF4" w:rsidRPr="0068633A" w:rsidRDefault="00782DF4" w:rsidP="00C148F1">
            <w:pPr>
              <w:pStyle w:val="Mainbodycopy"/>
              <w:spacing w:line="240" w:lineRule="auto"/>
              <w:rPr>
                <w:rFonts w:eastAsia="Calibri" w:cs="Arial"/>
                <w:color w:val="000000" w:themeColor="text1"/>
              </w:rPr>
            </w:pPr>
          </w:p>
        </w:tc>
        <w:tc>
          <w:tcPr>
            <w:tcW w:w="4050" w:type="dxa"/>
            <w:tcBorders>
              <w:top w:val="nil"/>
              <w:left w:val="single" w:sz="8" w:space="0" w:color="9A9A9A"/>
              <w:bottom w:val="single" w:sz="8" w:space="0" w:color="9A9A9A"/>
              <w:right w:val="single" w:sz="8" w:space="0" w:color="9A9A9A"/>
            </w:tcBorders>
            <w:tcMar>
              <w:top w:w="100" w:type="nil"/>
              <w:left w:w="20" w:type="nil"/>
              <w:bottom w:w="20" w:type="nil"/>
              <w:right w:w="100" w:type="nil"/>
            </w:tcMar>
          </w:tcPr>
          <w:p w14:paraId="678EAEAB" w14:textId="77777777" w:rsidR="00782DF4" w:rsidRDefault="00782DF4" w:rsidP="00C148F1">
            <w:pPr>
              <w:spacing w:after="0" w:line="240" w:lineRule="auto"/>
              <w:rPr>
                <w:rFonts w:ascii="Arial" w:eastAsia="Times New Roman" w:hAnsi="Arial" w:cs="Arial"/>
                <w:b/>
                <w:bCs/>
                <w:color w:val="111111"/>
                <w:sz w:val="20"/>
                <w:szCs w:val="20"/>
              </w:rPr>
            </w:pPr>
            <w:r>
              <w:rPr>
                <w:rFonts w:ascii="Arial" w:hAnsi="Arial" w:cs="Arial"/>
                <w:b/>
                <w:bCs/>
                <w:color w:val="000000" w:themeColor="text1"/>
                <w:sz w:val="20"/>
                <w:szCs w:val="20"/>
              </w:rPr>
              <w:t>James Chen</w:t>
            </w:r>
            <w:r>
              <w:rPr>
                <w:rFonts w:ascii="Arial" w:hAnsi="Arial" w:cs="Arial"/>
                <w:bCs/>
                <w:color w:val="000000" w:themeColor="text1"/>
                <w:sz w:val="20"/>
                <w:szCs w:val="20"/>
              </w:rPr>
              <w:t>, PhD</w:t>
            </w:r>
            <w:r>
              <w:rPr>
                <w:rFonts w:ascii="Arial" w:hAnsi="Arial" w:cs="Arial"/>
                <w:bCs/>
                <w:color w:val="595959"/>
                <w:sz w:val="18"/>
                <w:szCs w:val="20"/>
              </w:rPr>
              <w:br/>
            </w:r>
            <w:r>
              <w:rPr>
                <w:rFonts w:ascii="Arial" w:eastAsia="Times New Roman" w:hAnsi="Arial" w:cs="Arial"/>
                <w:color w:val="595959"/>
                <w:sz w:val="18"/>
                <w:szCs w:val="20"/>
              </w:rPr>
              <w:t>University of California, San Francisco</w:t>
            </w:r>
            <w:r>
              <w:rPr>
                <w:rFonts w:ascii="Arial" w:eastAsia="Times New Roman" w:hAnsi="Arial" w:cs="Arial"/>
                <w:color w:val="595959"/>
                <w:sz w:val="18"/>
                <w:szCs w:val="20"/>
              </w:rPr>
              <w:br/>
              <w:t>Assistant Professor, Department of Microbiology and Immunology</w:t>
            </w:r>
          </w:p>
        </w:tc>
        <w:tc>
          <w:tcPr>
            <w:tcW w:w="3960" w:type="dxa"/>
            <w:tcBorders>
              <w:top w:val="nil"/>
              <w:left w:val="single" w:sz="8" w:space="0" w:color="9A9A9A"/>
              <w:bottom w:val="single" w:sz="8" w:space="0" w:color="9A9A9A"/>
              <w:right w:val="single" w:sz="8" w:space="0" w:color="9A9A9A"/>
            </w:tcBorders>
            <w:tcMar>
              <w:top w:w="100" w:type="nil"/>
              <w:left w:w="20" w:type="nil"/>
              <w:bottom w:w="20" w:type="nil"/>
              <w:right w:w="100" w:type="nil"/>
            </w:tcMar>
          </w:tcPr>
          <w:p w14:paraId="67CFB80D" w14:textId="77777777" w:rsidR="00782DF4" w:rsidRDefault="00782DF4" w:rsidP="00C148F1">
            <w:pPr>
              <w:spacing w:after="0" w:line="240" w:lineRule="auto"/>
              <w:rPr>
                <w:rFonts w:ascii="Arial" w:eastAsia="Times New Roman" w:hAnsi="Arial" w:cs="Arial"/>
                <w:color w:val="111111"/>
                <w:sz w:val="20"/>
                <w:szCs w:val="20"/>
              </w:rPr>
            </w:pPr>
            <w:r>
              <w:rPr>
                <w:rFonts w:ascii="Arial" w:hAnsi="Arial" w:cs="Arial"/>
                <w:i/>
                <w:color w:val="000000" w:themeColor="text1"/>
                <w:sz w:val="20"/>
                <w:szCs w:val="20"/>
              </w:rPr>
              <w:t>Rv2571c: A Novel Determinant of Pyrazinamide Susceptibility in Mycobacterium tuberculosis</w:t>
            </w:r>
          </w:p>
        </w:tc>
      </w:tr>
      <w:tr w:rsidR="00782DF4" w:rsidRPr="00475A08" w14:paraId="4649CC63" w14:textId="77777777" w:rsidTr="00C148F1">
        <w:tblPrEx>
          <w:tblBorders>
            <w:top w:val="none" w:sz="0" w:space="0" w:color="auto"/>
          </w:tblBorders>
        </w:tblPrEx>
        <w:trPr>
          <w:cantSplit/>
        </w:trPr>
        <w:tc>
          <w:tcPr>
            <w:tcW w:w="1998" w:type="dxa"/>
            <w:tcBorders>
              <w:top w:val="single" w:sz="8" w:space="0" w:color="9A9A9A"/>
              <w:left w:val="single" w:sz="8" w:space="0" w:color="9A9A9A"/>
              <w:bottom w:val="single" w:sz="8" w:space="0" w:color="9A9A9A"/>
              <w:right w:val="single" w:sz="8" w:space="0" w:color="9A9A9A"/>
            </w:tcBorders>
            <w:shd w:val="clear" w:color="auto" w:fill="F2F2F2" w:themeFill="background1" w:themeFillShade="F2"/>
            <w:tcMar>
              <w:top w:w="100" w:type="nil"/>
              <w:left w:w="20" w:type="nil"/>
              <w:bottom w:w="20" w:type="nil"/>
              <w:right w:w="100" w:type="nil"/>
            </w:tcMar>
          </w:tcPr>
          <w:p w14:paraId="490CFF37" w14:textId="77777777" w:rsidR="00782DF4" w:rsidRPr="0068633A" w:rsidRDefault="00782DF4" w:rsidP="00C148F1">
            <w:pPr>
              <w:pStyle w:val="Mainbodycopy"/>
              <w:spacing w:line="240" w:lineRule="auto"/>
              <w:rPr>
                <w:rFonts w:eastAsia="Calibri" w:cs="Arial"/>
                <w:color w:val="000000" w:themeColor="text1"/>
              </w:rPr>
            </w:pPr>
            <w:r>
              <w:rPr>
                <w:rFonts w:eastAsia="Calibri" w:cs="Arial"/>
                <w:color w:val="000000" w:themeColor="text1"/>
              </w:rPr>
              <w:t>3:00-3:15pm</w:t>
            </w:r>
          </w:p>
        </w:tc>
        <w:tc>
          <w:tcPr>
            <w:tcW w:w="8010" w:type="dxa"/>
            <w:gridSpan w:val="2"/>
            <w:tcBorders>
              <w:top w:val="single" w:sz="8" w:space="0" w:color="9A9A9A"/>
              <w:left w:val="single" w:sz="8" w:space="0" w:color="9A9A9A"/>
              <w:bottom w:val="single" w:sz="8" w:space="0" w:color="9A9A9A"/>
              <w:right w:val="single" w:sz="8" w:space="0" w:color="9A9A9A"/>
            </w:tcBorders>
            <w:shd w:val="clear" w:color="auto" w:fill="F2F2F2" w:themeFill="background1" w:themeFillShade="F2"/>
            <w:tcMar>
              <w:top w:w="100" w:type="nil"/>
              <w:left w:w="20" w:type="nil"/>
              <w:bottom w:w="20" w:type="nil"/>
              <w:right w:w="100" w:type="nil"/>
            </w:tcMar>
          </w:tcPr>
          <w:p w14:paraId="12A7B14F" w14:textId="77777777" w:rsidR="00782DF4" w:rsidRPr="0068633A" w:rsidRDefault="00782DF4" w:rsidP="00C148F1">
            <w:pPr>
              <w:spacing w:after="0" w:line="240" w:lineRule="auto"/>
              <w:rPr>
                <w:rFonts w:ascii="Arial" w:eastAsia="Calibri" w:hAnsi="Arial" w:cs="Arial"/>
                <w:bCs/>
                <w:color w:val="000000" w:themeColor="text1"/>
                <w:sz w:val="20"/>
                <w:szCs w:val="20"/>
              </w:rPr>
            </w:pPr>
            <w:r>
              <w:rPr>
                <w:rFonts w:ascii="Arial" w:eastAsia="Calibri" w:hAnsi="Arial" w:cs="Arial"/>
                <w:b/>
                <w:bCs/>
                <w:color w:val="000000" w:themeColor="text1"/>
                <w:sz w:val="20"/>
                <w:szCs w:val="20"/>
              </w:rPr>
              <w:t>Coffee Break</w:t>
            </w:r>
          </w:p>
        </w:tc>
      </w:tr>
      <w:tr w:rsidR="00782DF4" w:rsidRPr="00475A08" w14:paraId="31D6F04D" w14:textId="77777777" w:rsidTr="00C148F1">
        <w:tblPrEx>
          <w:tblBorders>
            <w:top w:val="none" w:sz="0" w:space="0" w:color="auto"/>
          </w:tblBorders>
        </w:tblPrEx>
        <w:trPr>
          <w:cantSplit/>
        </w:trPr>
        <w:tc>
          <w:tcPr>
            <w:tcW w:w="1998" w:type="dxa"/>
            <w:tcBorders>
              <w:top w:val="single" w:sz="8" w:space="0" w:color="9A9A9A"/>
              <w:left w:val="single" w:sz="8" w:space="0" w:color="9A9A9A"/>
              <w:bottom w:val="single" w:sz="8" w:space="0" w:color="9A9A9A"/>
              <w:right w:val="single" w:sz="8" w:space="0" w:color="9A9A9A"/>
            </w:tcBorders>
            <w:shd w:val="clear" w:color="auto" w:fill="D9E2F3" w:themeFill="accent1" w:themeFillTint="33"/>
            <w:tcMar>
              <w:top w:w="100" w:type="nil"/>
              <w:left w:w="20" w:type="nil"/>
              <w:bottom w:w="20" w:type="nil"/>
              <w:right w:w="100" w:type="nil"/>
            </w:tcMar>
          </w:tcPr>
          <w:p w14:paraId="1832BDA5" w14:textId="77777777" w:rsidR="00782DF4" w:rsidRPr="0068633A" w:rsidRDefault="00782DF4" w:rsidP="00C148F1">
            <w:pPr>
              <w:pStyle w:val="Mainbodycopy"/>
              <w:spacing w:line="240" w:lineRule="auto"/>
              <w:rPr>
                <w:rFonts w:eastAsia="Calibri" w:cs="Arial"/>
                <w:color w:val="000000" w:themeColor="text1"/>
              </w:rPr>
            </w:pPr>
            <w:r>
              <w:rPr>
                <w:rFonts w:eastAsia="Calibri" w:cs="Arial"/>
                <w:color w:val="000000" w:themeColor="text1"/>
              </w:rPr>
              <w:t>3:15-4:15pm</w:t>
            </w:r>
          </w:p>
        </w:tc>
        <w:tc>
          <w:tcPr>
            <w:tcW w:w="4050" w:type="dxa"/>
            <w:tcBorders>
              <w:top w:val="single" w:sz="8" w:space="0" w:color="9A9A9A"/>
              <w:left w:val="single" w:sz="8" w:space="0" w:color="9A9A9A"/>
              <w:bottom w:val="single" w:sz="8" w:space="0" w:color="9A9A9A"/>
              <w:right w:val="single" w:sz="8" w:space="0" w:color="9A9A9A"/>
            </w:tcBorders>
            <w:shd w:val="clear" w:color="auto" w:fill="D9E2F3" w:themeFill="accent1" w:themeFillTint="33"/>
            <w:tcMar>
              <w:top w:w="100" w:type="nil"/>
              <w:left w:w="20" w:type="nil"/>
              <w:bottom w:w="20" w:type="nil"/>
              <w:right w:w="100" w:type="nil"/>
            </w:tcMar>
          </w:tcPr>
          <w:p w14:paraId="6DA227F3" w14:textId="77777777" w:rsidR="00782DF4" w:rsidRPr="0068633A" w:rsidRDefault="00782DF4" w:rsidP="00C148F1">
            <w:pPr>
              <w:spacing w:after="0" w:line="240" w:lineRule="auto"/>
              <w:rPr>
                <w:rFonts w:ascii="Arial" w:eastAsia="Calibri" w:hAnsi="Arial" w:cs="Arial"/>
                <w:b/>
                <w:bCs/>
                <w:color w:val="000000" w:themeColor="text1"/>
                <w:sz w:val="20"/>
                <w:szCs w:val="20"/>
              </w:rPr>
            </w:pPr>
            <w:r>
              <w:rPr>
                <w:rFonts w:ascii="Arial" w:eastAsia="Calibri" w:hAnsi="Arial" w:cs="Arial"/>
                <w:bCs/>
                <w:color w:val="595959"/>
                <w:sz w:val="18"/>
                <w:szCs w:val="20"/>
              </w:rPr>
              <w:t>Session moderator:  TBD</w:t>
            </w:r>
          </w:p>
        </w:tc>
        <w:tc>
          <w:tcPr>
            <w:tcW w:w="3960" w:type="dxa"/>
            <w:tcBorders>
              <w:top w:val="single" w:sz="8" w:space="0" w:color="9A9A9A"/>
              <w:left w:val="single" w:sz="8" w:space="0" w:color="9A9A9A"/>
              <w:bottom w:val="single" w:sz="8" w:space="0" w:color="9A9A9A"/>
              <w:right w:val="single" w:sz="8" w:space="0" w:color="9A9A9A"/>
            </w:tcBorders>
            <w:shd w:val="clear" w:color="auto" w:fill="D9E2F3" w:themeFill="accent1" w:themeFillTint="33"/>
            <w:tcMar>
              <w:top w:w="100" w:type="nil"/>
              <w:left w:w="20" w:type="nil"/>
              <w:bottom w:w="20" w:type="nil"/>
              <w:right w:w="100" w:type="nil"/>
            </w:tcMar>
          </w:tcPr>
          <w:p w14:paraId="00E37A49" w14:textId="77777777" w:rsidR="00782DF4" w:rsidRPr="0068633A" w:rsidRDefault="00782DF4" w:rsidP="00C148F1">
            <w:pPr>
              <w:spacing w:after="0" w:line="240" w:lineRule="auto"/>
              <w:rPr>
                <w:rFonts w:ascii="Arial" w:eastAsia="Calibri" w:hAnsi="Arial" w:cs="Arial"/>
                <w:bCs/>
                <w:color w:val="000000" w:themeColor="text1"/>
                <w:sz w:val="20"/>
                <w:szCs w:val="20"/>
              </w:rPr>
            </w:pPr>
            <w:r w:rsidRPr="006F72F4">
              <w:rPr>
                <w:rFonts w:ascii="Arial" w:eastAsia="Calibri" w:hAnsi="Arial" w:cs="Arial"/>
                <w:b/>
                <w:bCs/>
                <w:color w:val="002060"/>
                <w:sz w:val="20"/>
                <w:szCs w:val="20"/>
              </w:rPr>
              <w:t>5</w:t>
            </w:r>
            <w:r w:rsidRPr="006F72F4">
              <w:rPr>
                <w:rFonts w:ascii="Arial" w:eastAsia="Calibri" w:hAnsi="Arial" w:cs="Arial"/>
                <w:b/>
                <w:bCs/>
                <w:color w:val="002060"/>
                <w:sz w:val="20"/>
                <w:szCs w:val="20"/>
                <w:vertAlign w:val="superscript"/>
              </w:rPr>
              <w:t>th</w:t>
            </w:r>
            <w:r w:rsidRPr="006F72F4">
              <w:rPr>
                <w:rFonts w:ascii="Arial" w:eastAsia="Calibri" w:hAnsi="Arial" w:cs="Arial"/>
                <w:b/>
                <w:bCs/>
                <w:color w:val="002060"/>
                <w:sz w:val="20"/>
                <w:szCs w:val="20"/>
              </w:rPr>
              <w:t xml:space="preserve"> Anniversary session</w:t>
            </w:r>
          </w:p>
        </w:tc>
      </w:tr>
      <w:tr w:rsidR="00782DF4" w:rsidRPr="00475A08" w14:paraId="59996A5D" w14:textId="77777777" w:rsidTr="00C148F1">
        <w:tblPrEx>
          <w:tblBorders>
            <w:top w:val="none" w:sz="0" w:space="0" w:color="auto"/>
          </w:tblBorders>
        </w:tblPrEx>
        <w:trPr>
          <w:cantSplit/>
        </w:trPr>
        <w:tc>
          <w:tcPr>
            <w:tcW w:w="1998"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1DCD9324" w14:textId="77777777" w:rsidR="00782DF4" w:rsidRPr="0068633A" w:rsidRDefault="00782DF4" w:rsidP="00C148F1">
            <w:pPr>
              <w:pStyle w:val="Mainbodycopy"/>
              <w:spacing w:line="240" w:lineRule="auto"/>
              <w:rPr>
                <w:rFonts w:eastAsia="Calibri" w:cs="Arial"/>
                <w:color w:val="000000" w:themeColor="text1"/>
              </w:rPr>
            </w:pPr>
            <w:r>
              <w:rPr>
                <w:rFonts w:eastAsia="Calibri" w:cs="Arial"/>
                <w:color w:val="000000" w:themeColor="text1"/>
              </w:rPr>
              <w:t>4:15-4:20pm</w:t>
            </w:r>
          </w:p>
        </w:tc>
        <w:tc>
          <w:tcPr>
            <w:tcW w:w="405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729290E6" w14:textId="77777777" w:rsidR="00782DF4" w:rsidRPr="0068633A" w:rsidRDefault="00782DF4" w:rsidP="00C148F1">
            <w:pPr>
              <w:spacing w:after="0" w:line="240" w:lineRule="auto"/>
              <w:rPr>
                <w:rFonts w:ascii="Arial" w:eastAsia="Aptos" w:hAnsi="Arial" w:cs="Arial"/>
                <w:b/>
                <w:bCs/>
                <w:color w:val="000000" w:themeColor="text1"/>
                <w:sz w:val="20"/>
                <w:szCs w:val="20"/>
              </w:rPr>
            </w:pPr>
            <w:r>
              <w:rPr>
                <w:rFonts w:ascii="Arial" w:eastAsia="Aptos" w:hAnsi="Arial" w:cs="Arial"/>
                <w:b/>
                <w:bCs/>
                <w:color w:val="000000" w:themeColor="text1"/>
                <w:sz w:val="20"/>
                <w:szCs w:val="20"/>
              </w:rPr>
              <w:t>Philip Hopewell</w:t>
            </w:r>
            <w:r>
              <w:rPr>
                <w:rFonts w:ascii="Arial" w:eastAsia="Aptos" w:hAnsi="Arial" w:cs="Arial"/>
                <w:bCs/>
                <w:color w:val="000000" w:themeColor="text1"/>
                <w:sz w:val="20"/>
                <w:szCs w:val="20"/>
              </w:rPr>
              <w:t>, MD</w:t>
            </w:r>
          </w:p>
          <w:p w14:paraId="7BCDAE51" w14:textId="77777777" w:rsidR="00782DF4" w:rsidRDefault="00782DF4" w:rsidP="00C148F1">
            <w:pPr>
              <w:spacing w:after="0" w:line="240" w:lineRule="auto"/>
              <w:rPr>
                <w:rFonts w:ascii="Arial" w:eastAsia="Aptos" w:hAnsi="Arial" w:cs="Arial"/>
                <w:color w:val="595959"/>
                <w:sz w:val="18"/>
                <w:szCs w:val="20"/>
              </w:rPr>
            </w:pPr>
            <w:r>
              <w:rPr>
                <w:rFonts w:ascii="Arial" w:eastAsia="Times New Roman" w:hAnsi="Arial" w:cs="Arial"/>
                <w:color w:val="595959"/>
                <w:sz w:val="18"/>
                <w:szCs w:val="20"/>
              </w:rPr>
              <w:t>University of California, San Francisco</w:t>
            </w:r>
          </w:p>
          <w:p w14:paraId="1CA54B18" w14:textId="77777777" w:rsidR="00782DF4" w:rsidRPr="000E3EDA" w:rsidRDefault="00782DF4" w:rsidP="00C148F1">
            <w:pPr>
              <w:spacing w:after="0" w:line="240" w:lineRule="auto"/>
              <w:rPr>
                <w:rFonts w:ascii="Arial" w:eastAsia="Aptos" w:hAnsi="Arial" w:cs="Arial"/>
                <w:color w:val="000000" w:themeColor="text1"/>
                <w:sz w:val="20"/>
                <w:szCs w:val="20"/>
              </w:rPr>
            </w:pPr>
            <w:r>
              <w:rPr>
                <w:rFonts w:ascii="Arial" w:eastAsia="Aptos" w:hAnsi="Arial" w:cs="Arial"/>
                <w:color w:val="595959"/>
                <w:sz w:val="18"/>
                <w:szCs w:val="20"/>
              </w:rPr>
              <w:t>Professor, School of Medicine</w:t>
            </w:r>
          </w:p>
        </w:tc>
        <w:tc>
          <w:tcPr>
            <w:tcW w:w="396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0C3EA054" w14:textId="77777777" w:rsidR="00782DF4" w:rsidRPr="0068633A" w:rsidRDefault="00782DF4" w:rsidP="00C148F1">
            <w:pPr>
              <w:spacing w:after="0" w:line="240" w:lineRule="auto"/>
              <w:rPr>
                <w:rFonts w:ascii="Arial" w:eastAsia="Calibri" w:hAnsi="Arial" w:cs="Arial"/>
                <w:bCs/>
                <w:color w:val="000000" w:themeColor="text1"/>
                <w:sz w:val="20"/>
                <w:szCs w:val="20"/>
              </w:rPr>
            </w:pPr>
            <w:r w:rsidRPr="006F72F4">
              <w:rPr>
                <w:rFonts w:ascii="Arial" w:eastAsia="Calibri" w:hAnsi="Arial" w:cs="Arial"/>
                <w:b/>
                <w:bCs/>
                <w:color w:val="002060"/>
                <w:sz w:val="20"/>
                <w:szCs w:val="20"/>
              </w:rPr>
              <w:t>Poster Awards</w:t>
            </w:r>
          </w:p>
        </w:tc>
      </w:tr>
      <w:tr w:rsidR="00782DF4" w:rsidRPr="00475A08" w14:paraId="724A82D2" w14:textId="77777777" w:rsidTr="00C148F1">
        <w:tblPrEx>
          <w:tblBorders>
            <w:top w:val="none" w:sz="0" w:space="0" w:color="auto"/>
          </w:tblBorders>
        </w:tblPrEx>
        <w:trPr>
          <w:cantSplit/>
        </w:trPr>
        <w:tc>
          <w:tcPr>
            <w:tcW w:w="1998"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6D92664C" w14:textId="77777777" w:rsidR="00782DF4" w:rsidRPr="0068633A" w:rsidRDefault="00782DF4" w:rsidP="00C148F1">
            <w:pPr>
              <w:pStyle w:val="Mainbodycopy"/>
              <w:spacing w:line="240" w:lineRule="auto"/>
              <w:rPr>
                <w:rFonts w:eastAsia="Calibri" w:cs="Arial"/>
                <w:color w:val="000000" w:themeColor="text1"/>
              </w:rPr>
            </w:pPr>
            <w:r>
              <w:rPr>
                <w:rFonts w:eastAsia="Calibri" w:cs="Arial"/>
                <w:color w:val="000000" w:themeColor="text1"/>
              </w:rPr>
              <w:lastRenderedPageBreak/>
              <w:t>4:20-4:30pm</w:t>
            </w:r>
          </w:p>
        </w:tc>
        <w:tc>
          <w:tcPr>
            <w:tcW w:w="405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246B5CC2" w14:textId="77777777" w:rsidR="00782DF4" w:rsidRPr="0068633A" w:rsidRDefault="00782DF4" w:rsidP="00C148F1">
            <w:pPr>
              <w:spacing w:after="0" w:line="240" w:lineRule="auto"/>
              <w:rPr>
                <w:rFonts w:ascii="Arial" w:eastAsia="Calibri" w:hAnsi="Arial" w:cs="Arial"/>
                <w:b/>
                <w:bCs/>
                <w:color w:val="000000" w:themeColor="text1"/>
                <w:sz w:val="20"/>
                <w:szCs w:val="20"/>
              </w:rPr>
            </w:pPr>
            <w:r>
              <w:rPr>
                <w:rFonts w:ascii="Arial" w:eastAsia="Calibri" w:hAnsi="Arial" w:cs="Arial"/>
                <w:b/>
                <w:bCs/>
                <w:color w:val="000000" w:themeColor="text1"/>
                <w:sz w:val="20"/>
                <w:szCs w:val="20"/>
              </w:rPr>
              <w:t>Sarah Stanley</w:t>
            </w:r>
            <w:r>
              <w:rPr>
                <w:rFonts w:ascii="Arial" w:eastAsia="Calibri" w:hAnsi="Arial" w:cs="Arial"/>
                <w:bCs/>
                <w:color w:val="000000" w:themeColor="text1"/>
                <w:sz w:val="20"/>
                <w:szCs w:val="20"/>
              </w:rPr>
              <w:t>, PhD</w:t>
            </w:r>
          </w:p>
          <w:p w14:paraId="45D24E93" w14:textId="77777777" w:rsidR="00782DF4" w:rsidRDefault="00782DF4" w:rsidP="00C148F1">
            <w:pPr>
              <w:spacing w:after="0" w:line="240" w:lineRule="auto"/>
              <w:rPr>
                <w:rFonts w:ascii="Arial" w:eastAsia="Aptos" w:hAnsi="Arial" w:cs="Arial"/>
                <w:color w:val="595959"/>
                <w:sz w:val="18"/>
                <w:szCs w:val="20"/>
              </w:rPr>
            </w:pPr>
            <w:r w:rsidRPr="00156278">
              <w:rPr>
                <w:rFonts w:ascii="Arial" w:eastAsia="Aptos" w:hAnsi="Arial" w:cs="Arial"/>
                <w:color w:val="595959"/>
                <w:sz w:val="18"/>
                <w:szCs w:val="20"/>
              </w:rPr>
              <w:t>University of California, Berkeley</w:t>
            </w:r>
          </w:p>
          <w:p w14:paraId="301D3DE9" w14:textId="77777777" w:rsidR="00782DF4" w:rsidRPr="00156278" w:rsidRDefault="00782DF4" w:rsidP="00C148F1">
            <w:pPr>
              <w:pStyle w:val="Mainbodycopy"/>
              <w:spacing w:line="240" w:lineRule="auto"/>
              <w:rPr>
                <w:rFonts w:eastAsia="Calibri" w:cs="Arial"/>
                <w:color w:val="595959"/>
                <w:sz w:val="18"/>
              </w:rPr>
            </w:pPr>
            <w:r>
              <w:rPr>
                <w:rFonts w:eastAsia="Calibri" w:cs="Arial"/>
                <w:color w:val="595959"/>
                <w:sz w:val="18"/>
              </w:rPr>
              <w:t xml:space="preserve">Associate Professor, </w:t>
            </w:r>
            <w:r w:rsidRPr="00156278">
              <w:rPr>
                <w:rFonts w:eastAsia="Aptos" w:cs="Arial"/>
                <w:color w:val="595959"/>
                <w:sz w:val="18"/>
              </w:rPr>
              <w:t>Molecular and Cell Biology</w:t>
            </w:r>
          </w:p>
        </w:tc>
        <w:tc>
          <w:tcPr>
            <w:tcW w:w="396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6CDCEBAF" w14:textId="77777777" w:rsidR="00782DF4" w:rsidRPr="0068633A" w:rsidRDefault="00782DF4" w:rsidP="00C148F1">
            <w:pPr>
              <w:spacing w:after="0" w:line="240" w:lineRule="auto"/>
              <w:rPr>
                <w:rFonts w:ascii="Arial" w:eastAsia="Aptos" w:hAnsi="Arial" w:cs="Arial"/>
                <w:color w:val="000000" w:themeColor="text1"/>
                <w:sz w:val="20"/>
                <w:szCs w:val="20"/>
              </w:rPr>
            </w:pPr>
            <w:r w:rsidRPr="006F72F4">
              <w:rPr>
                <w:rFonts w:ascii="Arial" w:eastAsia="Calibri" w:hAnsi="Arial" w:cs="Arial"/>
                <w:b/>
                <w:bCs/>
                <w:color w:val="002060"/>
                <w:sz w:val="20"/>
                <w:szCs w:val="20"/>
              </w:rPr>
              <w:t>Closing Remarks</w:t>
            </w:r>
          </w:p>
        </w:tc>
      </w:tr>
      <w:tr w:rsidR="00782DF4" w:rsidRPr="00475A08" w14:paraId="52ADC3F2" w14:textId="77777777" w:rsidTr="00C148F1">
        <w:tblPrEx>
          <w:tblBorders>
            <w:top w:val="none" w:sz="0" w:space="0" w:color="auto"/>
          </w:tblBorders>
        </w:tblPrEx>
        <w:trPr>
          <w:cantSplit/>
        </w:trPr>
        <w:tc>
          <w:tcPr>
            <w:tcW w:w="1998"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2F89A1DC" w14:textId="77777777" w:rsidR="00782DF4" w:rsidRPr="0068633A" w:rsidRDefault="00782DF4" w:rsidP="00C148F1">
            <w:pPr>
              <w:pStyle w:val="Mainbodycopy"/>
              <w:spacing w:line="240" w:lineRule="auto"/>
              <w:rPr>
                <w:rFonts w:eastAsia="Calibri" w:cs="Arial"/>
                <w:color w:val="000000" w:themeColor="text1"/>
              </w:rPr>
            </w:pPr>
            <w:r>
              <w:rPr>
                <w:rFonts w:eastAsia="Calibri" w:cs="Arial"/>
                <w:color w:val="000000" w:themeColor="text1"/>
              </w:rPr>
              <w:t>4:30-6:00pm</w:t>
            </w:r>
          </w:p>
        </w:tc>
        <w:tc>
          <w:tcPr>
            <w:tcW w:w="8010" w:type="dxa"/>
            <w:gridSpan w:val="2"/>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4E133A3B" w14:textId="77777777" w:rsidR="00782DF4" w:rsidRPr="0068633A" w:rsidRDefault="00782DF4" w:rsidP="00C148F1">
            <w:pPr>
              <w:spacing w:after="0" w:line="240" w:lineRule="auto"/>
              <w:rPr>
                <w:rFonts w:ascii="Arial" w:eastAsia="Calibri" w:hAnsi="Arial" w:cs="Arial"/>
                <w:b/>
                <w:bCs/>
                <w:color w:val="000000" w:themeColor="text1"/>
                <w:sz w:val="20"/>
                <w:szCs w:val="20"/>
              </w:rPr>
            </w:pPr>
            <w:r>
              <w:rPr>
                <w:rFonts w:ascii="Arial" w:eastAsia="Calibri" w:hAnsi="Arial" w:cs="Arial"/>
                <w:b/>
                <w:bCs/>
                <w:color w:val="000000" w:themeColor="text1"/>
                <w:sz w:val="20"/>
                <w:szCs w:val="20"/>
              </w:rPr>
              <w:t>Wine &amp; Cheese Reception</w:t>
            </w:r>
          </w:p>
        </w:tc>
      </w:tr>
    </w:tbl>
    <w:p w14:paraId="6F4304EF" w14:textId="77777777" w:rsidR="00782DF4" w:rsidRPr="00D10935" w:rsidRDefault="00782DF4" w:rsidP="00782DF4">
      <w:pPr>
        <w:pStyle w:val="Mainbodycopy"/>
        <w:spacing w:line="240" w:lineRule="auto"/>
        <w:rPr>
          <w:rFonts w:eastAsia="Calibri" w:cs="Arial"/>
          <w:color w:val="000000" w:themeColor="text1"/>
        </w:rPr>
      </w:pPr>
    </w:p>
    <w:p w14:paraId="78AB2FE5" w14:textId="77777777" w:rsidR="00583F4D" w:rsidRPr="00D62AF1" w:rsidRDefault="00583F4D" w:rsidP="18137F8B">
      <w:pPr>
        <w:pStyle w:val="Heading1"/>
        <w:spacing w:line="240" w:lineRule="auto"/>
        <w:rPr>
          <w:rFonts w:asciiTheme="minorHAnsi" w:hAnsiTheme="minorHAnsi" w:cstheme="minorBidi"/>
        </w:rPr>
      </w:pPr>
    </w:p>
    <w:p w14:paraId="5A595BED" w14:textId="77777777" w:rsidR="00583F4D" w:rsidRPr="00D62AF1" w:rsidRDefault="00583F4D" w:rsidP="18137F8B">
      <w:pPr>
        <w:pStyle w:val="Heading1"/>
        <w:spacing w:line="240" w:lineRule="auto"/>
        <w:rPr>
          <w:rFonts w:asciiTheme="minorHAnsi" w:hAnsiTheme="minorHAnsi" w:cstheme="minorBidi"/>
        </w:rPr>
      </w:pPr>
    </w:p>
    <w:p w14:paraId="312876FA" w14:textId="77777777" w:rsidR="00583F4D" w:rsidRPr="00D62AF1" w:rsidRDefault="00583F4D" w:rsidP="18137F8B">
      <w:r>
        <w:br w:type="page"/>
      </w:r>
    </w:p>
    <w:p w14:paraId="78693387" w14:textId="77777777" w:rsidR="00286D1B" w:rsidRDefault="004B1BBD">
      <w:pPr>
        <w:pStyle w:val="Heading1"/>
        <w:spacing w:line="240" w:lineRule="auto"/>
        <w:rPr>
          <w:rFonts w:asciiTheme="minorHAnsi" w:hAnsiTheme="minorHAnsi" w:cstheme="minorBidi"/>
        </w:rPr>
      </w:pPr>
      <w:bookmarkStart w:id="9" w:name="_Toc238729437"/>
      <w:r>
        <w:rPr>
          <w:rFonts w:asciiTheme="minorHAnsi" w:hAnsiTheme="minorHAnsi" w:cstheme="minorBidi"/>
        </w:rPr>
        <w:lastRenderedPageBreak/>
        <w:t>Oral presentations</w:t>
      </w:r>
      <w:bookmarkEnd w:id="9"/>
    </w:p>
    <w:p w14:paraId="76EAB2A8" w14:textId="77777777" w:rsidR="00286D1B" w:rsidRDefault="00286D1B">
      <w:pPr>
        <w:rPr>
          <w:rFonts w:cstheme="minorHAnsi"/>
          <w:sz w:val="20"/>
          <w:szCs w:val="20"/>
        </w:rPr>
      </w:pPr>
    </w:p>
    <w:p w14:paraId="24D4D789" w14:textId="77777777" w:rsidR="00286D1B" w:rsidRDefault="004B1BBD">
      <w:pPr>
        <w:pStyle w:val="Heading2"/>
        <w:rPr>
          <w:rFonts w:asciiTheme="minorHAnsi" w:eastAsia="Times New Roman" w:hAnsiTheme="minorHAnsi" w:cstheme="minorBidi"/>
        </w:rPr>
      </w:pPr>
      <w:bookmarkStart w:id="10" w:name="_Toc238729438"/>
      <w:r>
        <w:rPr>
          <w:rFonts w:asciiTheme="minorHAnsi" w:eastAsia="Times New Roman" w:hAnsiTheme="minorHAnsi" w:cstheme="minorBidi"/>
        </w:rPr>
        <w:t>OP-01: Ifeanyichukwu Eke, Stanford University</w:t>
      </w:r>
      <w:bookmarkEnd w:id="10"/>
    </w:p>
    <w:p w14:paraId="145D6A08" w14:textId="77777777" w:rsidR="00286D1B" w:rsidRDefault="00286D1B">
      <w:pPr>
        <w:rPr>
          <w:rFonts w:cstheme="minorHAnsi"/>
          <w:sz w:val="20"/>
          <w:szCs w:val="20"/>
        </w:rPr>
      </w:pPr>
    </w:p>
    <w:p w14:paraId="5EB95E6A" w14:textId="77777777" w:rsidR="00286D1B" w:rsidRDefault="004B1BBD">
      <w:pPr>
        <w:rPr>
          <w:rFonts w:cstheme="minorHAnsi"/>
          <w:sz w:val="24"/>
          <w:szCs w:val="24"/>
        </w:rPr>
      </w:pPr>
      <w:r>
        <w:rPr>
          <w:rFonts w:cstheme="minorHAnsi"/>
          <w:b/>
          <w:bCs/>
          <w:sz w:val="24"/>
          <w:szCs w:val="24"/>
        </w:rPr>
        <w:t>Alkyl-aryl phosphonates as covalent inhibitors of mycobacterial serine protease Hip1</w:t>
      </w:r>
    </w:p>
    <w:p w14:paraId="0867FA7A" w14:textId="77777777" w:rsidR="00286D1B" w:rsidRDefault="004B1BBD">
      <w:pPr>
        <w:rPr>
          <w:rFonts w:cstheme="minorHAnsi"/>
          <w:sz w:val="20"/>
          <w:szCs w:val="20"/>
        </w:rPr>
      </w:pPr>
      <w:r>
        <w:rPr>
          <w:rFonts w:cstheme="minorHAnsi"/>
          <w:sz w:val="20"/>
          <w:szCs w:val="20"/>
        </w:rPr>
        <w:t>Ifeanyichukwu Eke, Stanford University</w:t>
      </w:r>
    </w:p>
    <w:p w14:paraId="1800D85D" w14:textId="77777777" w:rsidR="00286D1B" w:rsidRDefault="004B1BBD">
      <w:pPr>
        <w:rPr>
          <w:rFonts w:eastAsia="Aptos" w:cstheme="minorHAnsi"/>
          <w:sz w:val="20"/>
        </w:rPr>
      </w:pPr>
      <w:r>
        <w:rPr>
          <w:rFonts w:eastAsia="Aptos" w:cstheme="minorHAnsi"/>
          <w:sz w:val="20"/>
        </w:rPr>
        <w:t xml:space="preserve">Email: </w:t>
      </w:r>
      <w:hyperlink r:id="rId17" w:history="1">
        <w:r>
          <w:rPr>
            <w:rStyle w:val="Hyperlink"/>
            <w:rFonts w:eastAsia="Aptos" w:cstheme="minorHAnsi"/>
            <w:sz w:val="20"/>
          </w:rPr>
          <w:t>ekeifean@stanford.edu</w:t>
        </w:r>
      </w:hyperlink>
    </w:p>
    <w:p w14:paraId="73792A8B" w14:textId="77777777" w:rsidR="00286D1B" w:rsidRDefault="00286D1B">
      <w:pPr>
        <w:rPr>
          <w:rFonts w:cstheme="minorHAnsi"/>
          <w:sz w:val="20"/>
          <w:szCs w:val="20"/>
        </w:rPr>
      </w:pPr>
    </w:p>
    <w:p w14:paraId="0A6210A2" w14:textId="77777777" w:rsidR="00286D1B" w:rsidRDefault="004B1BBD">
      <w:pPr>
        <w:rPr>
          <w:rFonts w:cstheme="minorHAnsi"/>
          <w:sz w:val="20"/>
          <w:szCs w:val="20"/>
        </w:rPr>
      </w:pPr>
      <w:r>
        <w:rPr>
          <w:rFonts w:cstheme="minorHAnsi"/>
          <w:sz w:val="20"/>
          <w:szCs w:val="20"/>
        </w:rPr>
        <w:t>Eke, Ifeanyichukwu</w:t>
      </w:r>
      <w:r>
        <w:rPr>
          <w:rFonts w:cs="Calibri (Body)"/>
          <w:sz w:val="20"/>
          <w:szCs w:val="20"/>
          <w:vertAlign w:val="superscript"/>
        </w:rPr>
        <w:t>1</w:t>
      </w:r>
      <w:r>
        <w:rPr>
          <w:rFonts w:cstheme="minorHAnsi"/>
          <w:sz w:val="20"/>
          <w:szCs w:val="20"/>
        </w:rPr>
        <w:t>; Pedowitz, Nichole</w:t>
      </w:r>
      <w:r>
        <w:rPr>
          <w:rFonts w:cs="Calibri (Body)"/>
          <w:sz w:val="20"/>
          <w:szCs w:val="20"/>
          <w:vertAlign w:val="superscript"/>
        </w:rPr>
        <w:t>1</w:t>
      </w:r>
      <w:r>
        <w:rPr>
          <w:rFonts w:cstheme="minorHAnsi"/>
          <w:sz w:val="20"/>
          <w:szCs w:val="20"/>
        </w:rPr>
        <w:t>; Bennett, John</w:t>
      </w:r>
      <w:r>
        <w:rPr>
          <w:rFonts w:cs="Calibri (Body)"/>
          <w:sz w:val="20"/>
          <w:szCs w:val="20"/>
          <w:vertAlign w:val="superscript"/>
        </w:rPr>
        <w:t>1</w:t>
      </w:r>
      <w:r>
        <w:rPr>
          <w:rFonts w:cstheme="minorHAnsi"/>
          <w:sz w:val="20"/>
          <w:szCs w:val="20"/>
        </w:rPr>
        <w:t>; Bogyo, Matthew</w:t>
      </w:r>
      <w:r>
        <w:rPr>
          <w:rFonts w:cs="Calibri (Body)"/>
          <w:sz w:val="20"/>
          <w:szCs w:val="20"/>
          <w:vertAlign w:val="superscript"/>
        </w:rPr>
        <w:t>1</w:t>
      </w:r>
    </w:p>
    <w:p w14:paraId="6F24CD2C" w14:textId="77777777" w:rsidR="00286D1B" w:rsidRDefault="00E60320">
      <w:pPr>
        <w:spacing w:line="240" w:lineRule="auto"/>
        <w:contextualSpacing/>
        <w:rPr>
          <w:rFonts w:cstheme="minorHAnsi"/>
          <w:sz w:val="18"/>
          <w:szCs w:val="18"/>
        </w:rPr>
      </w:pPr>
      <w:r>
        <w:rPr>
          <w:rFonts w:cs="Calibri (Body)"/>
          <w:sz w:val="20"/>
          <w:szCs w:val="20"/>
          <w:vertAlign w:val="superscript"/>
        </w:rPr>
        <w:t xml:space="preserve">1 </w:t>
      </w:r>
      <w:r>
        <w:rPr>
          <w:rFonts w:cstheme="minorHAnsi"/>
          <w:sz w:val="18"/>
          <w:szCs w:val="18"/>
        </w:rPr>
        <w:t>Stanford University, Palo Alto, California</w:t>
      </w:r>
    </w:p>
    <w:p w14:paraId="71E00545" w14:textId="77777777" w:rsidR="00286D1B" w:rsidRDefault="00286D1B">
      <w:pPr>
        <w:rPr>
          <w:rFonts w:cstheme="minorHAnsi"/>
          <w:sz w:val="20"/>
          <w:szCs w:val="20"/>
        </w:rPr>
      </w:pPr>
    </w:p>
    <w:p w14:paraId="3A3724AC" w14:textId="77777777" w:rsidR="00286D1B" w:rsidRDefault="004B1BBD">
      <w:pPr>
        <w:rPr>
          <w:rFonts w:cstheme="minorHAnsi"/>
          <w:sz w:val="20"/>
          <w:szCs w:val="20"/>
        </w:rPr>
      </w:pPr>
      <w:r>
        <w:rPr>
          <w:rFonts w:cstheme="minorHAnsi"/>
          <w:sz w:val="20"/>
          <w:szCs w:val="20"/>
        </w:rPr>
        <w:t>Mycobacterium tuberculosis (Mtb), the causative agent of tuberculosis (TB), is a serious respiratory infection that remains the leading cause of mortality from an infectious disease. Mtb relies on secreted virulence enzymes to modulate the host immune system and establish a persistent infection in the lungs. Given the increasing cases of drug-resistant TB and the paucity of drugs in TB drug development pipeline, targeting these antivirulence enzymes represents a valuable therapeutic opportunity.  One of these enzymes is the serine protease Hip1 (Hydrolase Important for Pathogenesis 1), a key virulence factor that cleaves surface and secreted proteins to remodel the mycobacterial envelope and suppress immune activation. Hip1 is highly specific to mycobacteria, presenting an opportunity to target it for TB diagnosis and treatment. Here, we describe the development of mixed alkyl–aryl phosphonate inhibitors that selectively and irreversibly inactivate Hip1 through covalent modification of its catalytic serine residue. These inhibitors exhibit nanomolar potency, exceptional selectivity over mammalian serine hydrolases, and they achieve target engagement in intact Mtb. These findings establish mixed alkyl–aryl phosphonates as a privileged scaffold for selective covalent inhibition and validate Hip1 as a therapeutic and diagnostic target for TB.</w:t>
      </w:r>
    </w:p>
    <w:p w14:paraId="7086B705" w14:textId="77777777" w:rsidR="00691E24" w:rsidRDefault="00691E24">
      <w:pPr>
        <w:rPr>
          <w:rFonts w:eastAsia="Times New Roman"/>
          <w:color w:val="000000" w:themeColor="text1"/>
          <w:sz w:val="24"/>
          <w:szCs w:val="24"/>
        </w:rPr>
      </w:pPr>
      <w:r>
        <w:rPr>
          <w:rFonts w:eastAsia="Times New Roman"/>
        </w:rPr>
        <w:br w:type="page"/>
      </w:r>
    </w:p>
    <w:p w14:paraId="7B28212A" w14:textId="77777777" w:rsidR="00286D1B" w:rsidRDefault="004B1BBD">
      <w:pPr>
        <w:pStyle w:val="Heading2"/>
        <w:rPr>
          <w:rFonts w:asciiTheme="minorHAnsi" w:eastAsia="Times New Roman" w:hAnsiTheme="minorHAnsi" w:cstheme="minorBidi"/>
        </w:rPr>
      </w:pPr>
      <w:bookmarkStart w:id="11" w:name="_Toc238729439"/>
      <w:r>
        <w:rPr>
          <w:rFonts w:asciiTheme="minorHAnsi" w:eastAsia="Times New Roman" w:hAnsiTheme="minorHAnsi" w:cstheme="minorBidi"/>
        </w:rPr>
        <w:lastRenderedPageBreak/>
        <w:t>OP-02: Isabel Lamb-Echegaray, UC Berkeley</w:t>
      </w:r>
      <w:bookmarkEnd w:id="11"/>
    </w:p>
    <w:p w14:paraId="4D8D4D1B" w14:textId="77777777" w:rsidR="00286D1B" w:rsidRDefault="00286D1B">
      <w:pPr>
        <w:rPr>
          <w:rFonts w:cstheme="minorHAnsi"/>
          <w:sz w:val="20"/>
          <w:szCs w:val="20"/>
        </w:rPr>
      </w:pPr>
    </w:p>
    <w:p w14:paraId="40D3E099" w14:textId="77777777" w:rsidR="00286D1B" w:rsidRDefault="004B1BBD">
      <w:pPr>
        <w:rPr>
          <w:rFonts w:cstheme="minorHAnsi"/>
          <w:sz w:val="24"/>
          <w:szCs w:val="24"/>
        </w:rPr>
      </w:pPr>
      <w:r>
        <w:rPr>
          <w:rFonts w:cstheme="minorHAnsi"/>
          <w:b/>
          <w:bCs/>
          <w:sz w:val="24"/>
          <w:szCs w:val="24"/>
        </w:rPr>
        <w:t>Elucidating the mechanisms and correlates of protection elicited by CDN adjuvanted vaccines for M. tuberculosis.</w:t>
      </w:r>
    </w:p>
    <w:p w14:paraId="1B5C149E" w14:textId="77777777" w:rsidR="00286D1B" w:rsidRDefault="004B1BBD">
      <w:pPr>
        <w:rPr>
          <w:rFonts w:cstheme="minorHAnsi"/>
          <w:sz w:val="20"/>
          <w:szCs w:val="20"/>
        </w:rPr>
      </w:pPr>
      <w:r>
        <w:rPr>
          <w:rFonts w:cstheme="minorHAnsi"/>
          <w:sz w:val="20"/>
          <w:szCs w:val="20"/>
        </w:rPr>
        <w:t>Isabel Lamb-Echegaray, UC Berkeley</w:t>
      </w:r>
    </w:p>
    <w:p w14:paraId="368FAC5E" w14:textId="77777777" w:rsidR="00286D1B" w:rsidRDefault="004B1BBD">
      <w:pPr>
        <w:rPr>
          <w:rFonts w:eastAsia="Aptos" w:cstheme="minorHAnsi"/>
          <w:sz w:val="20"/>
        </w:rPr>
      </w:pPr>
      <w:r>
        <w:rPr>
          <w:rFonts w:eastAsia="Aptos" w:cstheme="minorHAnsi"/>
          <w:sz w:val="20"/>
        </w:rPr>
        <w:t xml:space="preserve">Email: </w:t>
      </w:r>
      <w:hyperlink r:id="rId18" w:history="1">
        <w:r>
          <w:rPr>
            <w:rStyle w:val="Hyperlink"/>
            <w:rFonts w:eastAsia="Aptos" w:cstheme="minorHAnsi"/>
            <w:sz w:val="20"/>
          </w:rPr>
          <w:t>isabel.lamb@berkeley.edu</w:t>
        </w:r>
      </w:hyperlink>
    </w:p>
    <w:p w14:paraId="40D46A1D" w14:textId="77777777" w:rsidR="00286D1B" w:rsidRDefault="00286D1B">
      <w:pPr>
        <w:rPr>
          <w:rFonts w:cstheme="minorHAnsi"/>
          <w:sz w:val="20"/>
          <w:szCs w:val="20"/>
        </w:rPr>
      </w:pPr>
    </w:p>
    <w:p w14:paraId="2FF7BDD1" w14:textId="77777777" w:rsidR="00286D1B" w:rsidRDefault="004B1BBD">
      <w:pPr>
        <w:rPr>
          <w:rFonts w:cstheme="minorHAnsi"/>
          <w:sz w:val="20"/>
          <w:szCs w:val="20"/>
        </w:rPr>
      </w:pPr>
      <w:r>
        <w:rPr>
          <w:rFonts w:cstheme="minorHAnsi"/>
          <w:sz w:val="20"/>
          <w:szCs w:val="20"/>
        </w:rPr>
        <w:t>Isabel D. Lamb-Echegaray; Sam B. Berry; Robyn M. Jong; Erik Van Dis; Amir Balahmet; Lillian Shallow; Helia Samani; Hannah S. Martin; Paul Huang; Matthew B. Francis; Sarah A. Stanley.</w:t>
      </w:r>
    </w:p>
    <w:p w14:paraId="4E39C840" w14:textId="77777777" w:rsidR="00286D1B" w:rsidRDefault="004B1BBD">
      <w:pPr>
        <w:spacing w:line="240" w:lineRule="auto"/>
        <w:contextualSpacing/>
        <w:rPr>
          <w:rFonts w:cstheme="minorHAnsi"/>
          <w:sz w:val="18"/>
          <w:szCs w:val="18"/>
        </w:rPr>
      </w:pPr>
      <w:r>
        <w:rPr>
          <w:rFonts w:cstheme="minorHAnsi"/>
          <w:sz w:val="18"/>
          <w:szCs w:val="18"/>
        </w:rPr>
        <w:t>University of California, Berkeley, Berkeley, CA 94720</w:t>
      </w:r>
    </w:p>
    <w:p w14:paraId="19C42A7A" w14:textId="77777777" w:rsidR="00286D1B" w:rsidRDefault="00286D1B">
      <w:pPr>
        <w:rPr>
          <w:rFonts w:cstheme="minorHAnsi"/>
          <w:sz w:val="20"/>
          <w:szCs w:val="20"/>
        </w:rPr>
      </w:pPr>
    </w:p>
    <w:p w14:paraId="159E3B07" w14:textId="77777777" w:rsidR="00286D1B" w:rsidRDefault="004B1BBD">
      <w:pPr>
        <w:rPr>
          <w:rFonts w:cstheme="minorHAnsi"/>
          <w:sz w:val="20"/>
          <w:szCs w:val="20"/>
        </w:rPr>
      </w:pPr>
      <w:r>
        <w:rPr>
          <w:rFonts w:cstheme="minorHAnsi"/>
          <w:sz w:val="20"/>
          <w:szCs w:val="20"/>
        </w:rPr>
        <w:t>The development of effective vaccines against Mycobacterium tuberculosis (Mtb) is crucial due to the high global mortality caused by tuberculosis, yet efforts to develop an effective vaccine have remained unsuccessful due to a lack of understating of the mechanisms of immune mediated protection.</w:t>
      </w:r>
    </w:p>
    <w:p w14:paraId="724B3190" w14:textId="77777777" w:rsidR="00286D1B" w:rsidRDefault="004B1BBD">
      <w:pPr>
        <w:rPr>
          <w:rFonts w:cstheme="minorHAnsi"/>
          <w:sz w:val="20"/>
          <w:szCs w:val="20"/>
        </w:rPr>
      </w:pPr>
      <w:r>
        <w:rPr>
          <w:rFonts w:cstheme="minorHAnsi"/>
          <w:sz w:val="20"/>
          <w:szCs w:val="20"/>
        </w:rPr>
        <w:t xml:space="preserve">Our lab has shown that cyclic dinucleotides (CDNs), which activate the STING pathway, serve as promising adjuvants in protein subunit vaccines, eliciting robust and long-lasting immunity against Mtb in mouse models. CDN-adjuvanted vaccines provide protection equivalent to the Bacille Calmette-Guérin (BCG) vaccine when administered subcutaneously, with enhanced efficacy observed when delivered intranasally. Mucosal vaccination with the CDN vaccine induces Th1, Th17, and Th1-Th17 cells, and protection is dependent upon both IL-17 and IFN-γ. However, the precise phenotypes and localization of Th1 and Th17 cells required for protection are poorly understood. Here we show that despite CXCR3+ CD4 T cells correlating with homing to lung parenchyma and </w:t>
      </w:r>
      <w:proofErr w:type="gramStart"/>
      <w:r>
        <w:rPr>
          <w:rFonts w:cstheme="minorHAnsi"/>
          <w:sz w:val="20"/>
          <w:szCs w:val="20"/>
        </w:rPr>
        <w:t>penetrating into</w:t>
      </w:r>
      <w:proofErr w:type="gramEnd"/>
      <w:r>
        <w:rPr>
          <w:rFonts w:cstheme="minorHAnsi"/>
          <w:sz w:val="20"/>
          <w:szCs w:val="20"/>
        </w:rPr>
        <w:t xml:space="preserve"> macrophage lesions in the lung, mice lacking CXCR3 remain protected after vaccination.</w:t>
      </w:r>
    </w:p>
    <w:p w14:paraId="49B96017" w14:textId="77777777" w:rsidR="00286D1B" w:rsidRDefault="004B1BBD">
      <w:pPr>
        <w:rPr>
          <w:rFonts w:cstheme="minorHAnsi"/>
          <w:sz w:val="20"/>
          <w:szCs w:val="20"/>
        </w:rPr>
      </w:pPr>
      <w:r>
        <w:rPr>
          <w:rFonts w:cstheme="minorHAnsi"/>
          <w:sz w:val="20"/>
          <w:szCs w:val="20"/>
        </w:rPr>
        <w:t>In addition, it is still unclear which of the downstream pathways activated by STING underlie the efficacy of STING activating adjuvants. Here we show that H1/CDN adjuvanted vaccine protection is independent of STAT-6, IRF3, and S365 and dependent on STING and its terminal tail. Furthermore, we show that CDNs induce STING-dependent autophagy, distinguishing them from other adjuvants. In addition, we demonstrate that an H1/AS01 adjuvanted vaccine, composed of MPLA and saponin, effectively protects against Mtb challenge and induces autophagy, while an H1/MPLA adjuvanted vaccine does not. These findings suggest that the terpenoid saponin in AS01, known to regulate autophagy pathways, might mediate the vaccine’s efficacy. Consequently, our results emphasize that the induction of autophagy is an important consideration for the development of new vaccines and that the efficacy of CDN adjuvanted vaccines might be mediated through STING dependent autophagy.</w:t>
      </w:r>
    </w:p>
    <w:p w14:paraId="67A83914" w14:textId="77777777" w:rsidR="00286D1B" w:rsidRDefault="004B1BBD">
      <w:pPr>
        <w:rPr>
          <w:rFonts w:cstheme="minorHAnsi"/>
          <w:sz w:val="20"/>
          <w:szCs w:val="20"/>
        </w:rPr>
      </w:pPr>
      <w:r>
        <w:rPr>
          <w:rFonts w:cstheme="minorHAnsi"/>
          <w:sz w:val="20"/>
          <w:szCs w:val="20"/>
        </w:rPr>
        <w:t>Furthermore, we show that formulating our vaccine in a locally supercharged MS2 viral capsid elicited equivalent immune responses and provided protection against tuberculosis infection with 145-fold less adjuvant and 3-fold less antigen. These results demonstrate that MS2 viral capsids provide an effective delivery system for STING-activating tuberculosis vaccines.</w:t>
      </w:r>
    </w:p>
    <w:p w14:paraId="3BA2B598" w14:textId="77777777" w:rsidR="00691E24" w:rsidRDefault="00691E24">
      <w:pPr>
        <w:rPr>
          <w:rFonts w:eastAsia="Times New Roman"/>
          <w:color w:val="000000" w:themeColor="text1"/>
          <w:sz w:val="24"/>
          <w:szCs w:val="24"/>
        </w:rPr>
      </w:pPr>
      <w:r>
        <w:rPr>
          <w:rFonts w:eastAsia="Times New Roman"/>
        </w:rPr>
        <w:br w:type="page"/>
      </w:r>
    </w:p>
    <w:p w14:paraId="6C1D4F53" w14:textId="77777777" w:rsidR="00286D1B" w:rsidRDefault="004B1BBD">
      <w:pPr>
        <w:pStyle w:val="Heading2"/>
        <w:rPr>
          <w:rFonts w:asciiTheme="minorHAnsi" w:eastAsia="Times New Roman" w:hAnsiTheme="minorHAnsi" w:cstheme="minorBidi"/>
        </w:rPr>
      </w:pPr>
      <w:bookmarkStart w:id="12" w:name="_Toc238729440"/>
      <w:r>
        <w:rPr>
          <w:rFonts w:asciiTheme="minorHAnsi" w:eastAsia="Times New Roman" w:hAnsiTheme="minorHAnsi" w:cstheme="minorBidi"/>
        </w:rPr>
        <w:lastRenderedPageBreak/>
        <w:t>OP-03: Christopher Rae, UC Berkeley</w:t>
      </w:r>
      <w:bookmarkEnd w:id="12"/>
    </w:p>
    <w:p w14:paraId="3B790B74" w14:textId="77777777" w:rsidR="00286D1B" w:rsidRDefault="00286D1B">
      <w:pPr>
        <w:rPr>
          <w:rFonts w:cstheme="minorHAnsi"/>
          <w:sz w:val="20"/>
          <w:szCs w:val="20"/>
        </w:rPr>
      </w:pPr>
    </w:p>
    <w:p w14:paraId="2DB934FD" w14:textId="77777777" w:rsidR="00286D1B" w:rsidRDefault="004B1BBD">
      <w:pPr>
        <w:rPr>
          <w:rFonts w:cstheme="minorHAnsi"/>
          <w:sz w:val="24"/>
          <w:szCs w:val="24"/>
        </w:rPr>
      </w:pPr>
      <w:r>
        <w:rPr>
          <w:rFonts w:cstheme="minorHAnsi"/>
          <w:b/>
          <w:bCs/>
          <w:sz w:val="24"/>
          <w:szCs w:val="24"/>
        </w:rPr>
        <w:t>Preliminary discovery of novel inhibitors of Mycobacterium tuberculosis from rare Actinomycetota soil bacteria</w:t>
      </w:r>
    </w:p>
    <w:p w14:paraId="35328B34" w14:textId="77777777" w:rsidR="00286D1B" w:rsidRDefault="004B1BBD">
      <w:pPr>
        <w:rPr>
          <w:rFonts w:cstheme="minorHAnsi"/>
          <w:sz w:val="20"/>
          <w:szCs w:val="20"/>
        </w:rPr>
      </w:pPr>
      <w:r>
        <w:rPr>
          <w:rFonts w:cstheme="minorHAnsi"/>
          <w:sz w:val="20"/>
          <w:szCs w:val="20"/>
        </w:rPr>
        <w:t>Christopher Rae, UC Berkeley</w:t>
      </w:r>
    </w:p>
    <w:p w14:paraId="6F1313B1" w14:textId="77777777" w:rsidR="00286D1B" w:rsidRDefault="004B1BBD">
      <w:pPr>
        <w:rPr>
          <w:rFonts w:eastAsia="Aptos" w:cstheme="minorHAnsi"/>
          <w:sz w:val="20"/>
        </w:rPr>
      </w:pPr>
      <w:r>
        <w:rPr>
          <w:rFonts w:eastAsia="Aptos" w:cstheme="minorHAnsi"/>
          <w:sz w:val="20"/>
        </w:rPr>
        <w:t xml:space="preserve">Email: </w:t>
      </w:r>
      <w:hyperlink r:id="rId19" w:history="1">
        <w:r>
          <w:rPr>
            <w:rStyle w:val="Hyperlink"/>
            <w:rFonts w:eastAsia="Aptos" w:cstheme="minorHAnsi"/>
            <w:sz w:val="20"/>
          </w:rPr>
          <w:t>crae@berkeley.edu</w:t>
        </w:r>
      </w:hyperlink>
    </w:p>
    <w:p w14:paraId="49E76A48" w14:textId="77777777" w:rsidR="00286D1B" w:rsidRDefault="00286D1B">
      <w:pPr>
        <w:rPr>
          <w:rFonts w:cstheme="minorHAnsi"/>
          <w:sz w:val="20"/>
          <w:szCs w:val="20"/>
        </w:rPr>
      </w:pPr>
    </w:p>
    <w:p w14:paraId="4DE52518" w14:textId="77777777" w:rsidR="00286D1B" w:rsidRDefault="004B1BBD">
      <w:pPr>
        <w:rPr>
          <w:rFonts w:cstheme="minorHAnsi"/>
          <w:sz w:val="20"/>
          <w:szCs w:val="20"/>
        </w:rPr>
      </w:pPr>
      <w:r>
        <w:rPr>
          <w:rFonts w:cstheme="minorHAnsi"/>
          <w:sz w:val="20"/>
          <w:szCs w:val="20"/>
        </w:rPr>
        <w:t>Rae, Christopher; Schonauer, Laine; Cox, Jeffery; Traxler, Matt</w:t>
      </w:r>
    </w:p>
    <w:p w14:paraId="6ACCFADC" w14:textId="77777777" w:rsidR="00286D1B" w:rsidRDefault="004B1BBD">
      <w:pPr>
        <w:spacing w:line="240" w:lineRule="auto"/>
        <w:contextualSpacing/>
        <w:rPr>
          <w:rFonts w:cstheme="minorHAnsi"/>
          <w:sz w:val="18"/>
          <w:szCs w:val="18"/>
        </w:rPr>
      </w:pPr>
      <w:r>
        <w:rPr>
          <w:rFonts w:cstheme="minorHAnsi"/>
          <w:sz w:val="18"/>
          <w:szCs w:val="18"/>
        </w:rPr>
        <w:t>UC Berkeley</w:t>
      </w:r>
    </w:p>
    <w:p w14:paraId="54C0AE66" w14:textId="77777777" w:rsidR="00286D1B" w:rsidRDefault="00286D1B">
      <w:pPr>
        <w:rPr>
          <w:rFonts w:cstheme="minorHAnsi"/>
          <w:sz w:val="20"/>
          <w:szCs w:val="20"/>
        </w:rPr>
      </w:pPr>
    </w:p>
    <w:p w14:paraId="7EEF6F38" w14:textId="77777777" w:rsidR="00286D1B" w:rsidRDefault="004B1BBD">
      <w:pPr>
        <w:rPr>
          <w:rFonts w:cstheme="minorHAnsi"/>
          <w:sz w:val="20"/>
          <w:szCs w:val="20"/>
        </w:rPr>
      </w:pPr>
      <w:r>
        <w:rPr>
          <w:rFonts w:cstheme="minorHAnsi"/>
          <w:sz w:val="20"/>
          <w:szCs w:val="20"/>
        </w:rPr>
        <w:t>Treatment for Mycobacterium tuberculosis infection typically involves a regimen of four antibiotics taken for at least four months. As M. tuberculosis evolves resistance to antibiotics, treatment increasingly fails, necessitating the development of new treatment options. Antibiotics that target unique vulnerabilities of mycobacteria could shorten treatment duration, improve patient adherence, and be effective against drug-resistant M. tuberculosis. In collaboration with the Traxler Lab at UC Berkeley, we set out to discover novel inhibitors of M. tuberculosis by screening natural products secreted from rare, previously uncultured Actinomycetota soil bacteria. Our preliminary work established a screening platform that identified multiple species of Actinomycetes that inhibit the growth of M. tuberculosis and secrete molecules unlikely to belong to known antibiotic classes. We used liquid chromatography mass spectrometry to isolate the active molecule from one candidate Actinomycete, identified its molecular weight and are currently using nuclear magnetic resonance (NMR) spectroscopy to determine the structure of this molecule. Its absence from available databases suggests that the molecule could represent a new class of antibiotics targeting M. tuberculosis.</w:t>
      </w:r>
    </w:p>
    <w:p w14:paraId="4EE215C5" w14:textId="77777777" w:rsidR="000A0381" w:rsidRDefault="000A0381">
      <w:pPr>
        <w:rPr>
          <w:rFonts w:eastAsiaTheme="majorEastAsia"/>
          <w:color w:val="FF0000"/>
          <w:sz w:val="36"/>
          <w:szCs w:val="32"/>
        </w:rPr>
      </w:pPr>
      <w:r>
        <w:br w:type="page"/>
      </w:r>
    </w:p>
    <w:p w14:paraId="428AB453" w14:textId="6DC237C3" w:rsidR="00286D1B" w:rsidRDefault="004B1BBD">
      <w:pPr>
        <w:pStyle w:val="Heading1"/>
        <w:spacing w:line="240" w:lineRule="auto"/>
        <w:rPr>
          <w:rFonts w:asciiTheme="minorHAnsi" w:hAnsiTheme="minorHAnsi" w:cstheme="minorBidi"/>
        </w:rPr>
      </w:pPr>
      <w:bookmarkStart w:id="13" w:name="_Toc238729441"/>
      <w:r>
        <w:rPr>
          <w:rFonts w:asciiTheme="minorHAnsi" w:hAnsiTheme="minorHAnsi" w:cstheme="minorBidi"/>
        </w:rPr>
        <w:lastRenderedPageBreak/>
        <w:t>Poster presentations</w:t>
      </w:r>
      <w:bookmarkEnd w:id="13"/>
    </w:p>
    <w:p w14:paraId="5E34AD17" w14:textId="77777777" w:rsidR="00286D1B" w:rsidRDefault="00286D1B">
      <w:pPr>
        <w:rPr>
          <w:rFonts w:cstheme="minorHAnsi"/>
          <w:sz w:val="20"/>
          <w:szCs w:val="20"/>
        </w:rPr>
      </w:pPr>
    </w:p>
    <w:p w14:paraId="25E13C80" w14:textId="77777777" w:rsidR="00286D1B" w:rsidRDefault="004B1BBD">
      <w:pPr>
        <w:pStyle w:val="Heading2"/>
        <w:rPr>
          <w:rFonts w:asciiTheme="minorHAnsi" w:eastAsia="Times New Roman" w:hAnsiTheme="minorHAnsi" w:cstheme="minorBidi"/>
        </w:rPr>
      </w:pPr>
      <w:bookmarkStart w:id="14" w:name="_Toc238729442"/>
      <w:r>
        <w:rPr>
          <w:rFonts w:asciiTheme="minorHAnsi" w:eastAsia="Times New Roman" w:hAnsiTheme="minorHAnsi" w:cstheme="minorBidi"/>
        </w:rPr>
        <w:t>PP-01: Rachel Abbott, UCSF</w:t>
      </w:r>
      <w:bookmarkEnd w:id="14"/>
    </w:p>
    <w:p w14:paraId="4CDAB89D" w14:textId="77777777" w:rsidR="00286D1B" w:rsidRDefault="00286D1B">
      <w:pPr>
        <w:rPr>
          <w:rFonts w:cstheme="minorHAnsi"/>
          <w:sz w:val="20"/>
          <w:szCs w:val="20"/>
        </w:rPr>
      </w:pPr>
    </w:p>
    <w:p w14:paraId="7DE94F20" w14:textId="77777777" w:rsidR="00286D1B" w:rsidRDefault="004B1BBD">
      <w:pPr>
        <w:rPr>
          <w:rFonts w:cstheme="minorHAnsi"/>
          <w:sz w:val="24"/>
          <w:szCs w:val="24"/>
        </w:rPr>
      </w:pPr>
      <w:r>
        <w:rPr>
          <w:rFonts w:cstheme="minorHAnsi"/>
          <w:b/>
          <w:bCs/>
          <w:sz w:val="24"/>
          <w:szCs w:val="24"/>
        </w:rPr>
        <w:t>Preferences and acceptability among youth for video hall-based Tuberculosis active case-finding in rural Southwestern Uganda (2025-2026)</w:t>
      </w:r>
    </w:p>
    <w:p w14:paraId="7A8D74A2" w14:textId="77777777" w:rsidR="00286D1B" w:rsidRDefault="004B1BBD">
      <w:pPr>
        <w:rPr>
          <w:rFonts w:cstheme="minorHAnsi"/>
          <w:sz w:val="20"/>
          <w:szCs w:val="20"/>
        </w:rPr>
      </w:pPr>
      <w:r>
        <w:rPr>
          <w:rFonts w:cstheme="minorHAnsi"/>
          <w:sz w:val="20"/>
          <w:szCs w:val="20"/>
        </w:rPr>
        <w:t>Rachel Abbott, UCSF</w:t>
      </w:r>
    </w:p>
    <w:p w14:paraId="1FC06E5A" w14:textId="77777777" w:rsidR="00286D1B" w:rsidRDefault="004B1BBD">
      <w:pPr>
        <w:rPr>
          <w:rFonts w:eastAsia="Aptos" w:cstheme="minorHAnsi"/>
          <w:sz w:val="20"/>
        </w:rPr>
      </w:pPr>
      <w:r>
        <w:rPr>
          <w:rFonts w:eastAsia="Aptos" w:cstheme="minorHAnsi"/>
          <w:sz w:val="20"/>
        </w:rPr>
        <w:t xml:space="preserve">Email: </w:t>
      </w:r>
      <w:hyperlink r:id="rId20" w:history="1">
        <w:r>
          <w:rPr>
            <w:rStyle w:val="Hyperlink"/>
            <w:rFonts w:eastAsia="Aptos" w:cstheme="minorHAnsi"/>
            <w:sz w:val="20"/>
          </w:rPr>
          <w:t>rachel.abbott@ucsf.edu</w:t>
        </w:r>
      </w:hyperlink>
    </w:p>
    <w:p w14:paraId="34564425" w14:textId="77777777" w:rsidR="00286D1B" w:rsidRDefault="00286D1B">
      <w:pPr>
        <w:rPr>
          <w:rFonts w:cstheme="minorHAnsi"/>
          <w:sz w:val="20"/>
          <w:szCs w:val="20"/>
        </w:rPr>
      </w:pPr>
    </w:p>
    <w:p w14:paraId="6C8103EC" w14:textId="77777777" w:rsidR="00286D1B" w:rsidRDefault="004B1BBD">
      <w:pPr>
        <w:rPr>
          <w:rFonts w:cstheme="minorHAnsi"/>
          <w:sz w:val="20"/>
          <w:szCs w:val="20"/>
        </w:rPr>
      </w:pPr>
      <w:r>
        <w:rPr>
          <w:rFonts w:cstheme="minorHAnsi"/>
          <w:sz w:val="20"/>
          <w:szCs w:val="20"/>
        </w:rPr>
        <w:t>Rachel Abbott</w:t>
      </w:r>
      <w:r>
        <w:rPr>
          <w:rFonts w:cs="Calibri (Body)"/>
          <w:sz w:val="18"/>
          <w:szCs w:val="18"/>
          <w:vertAlign w:val="superscript"/>
        </w:rPr>
        <w:t>1</w:t>
      </w:r>
      <w:r>
        <w:rPr>
          <w:rFonts w:cstheme="minorHAnsi"/>
          <w:sz w:val="20"/>
          <w:szCs w:val="20"/>
        </w:rPr>
        <w:t>; Elijah Kakande</w:t>
      </w:r>
      <w:r>
        <w:rPr>
          <w:rFonts w:cs="Calibri (Body)"/>
          <w:sz w:val="18"/>
          <w:szCs w:val="18"/>
          <w:vertAlign w:val="superscript"/>
        </w:rPr>
        <w:t>2</w:t>
      </w:r>
      <w:r>
        <w:rPr>
          <w:rFonts w:cstheme="minorHAnsi"/>
          <w:sz w:val="20"/>
          <w:szCs w:val="20"/>
        </w:rPr>
        <w:t>; Bob Ssekyanzi</w:t>
      </w:r>
      <w:r>
        <w:rPr>
          <w:rFonts w:cs="Calibri (Body)"/>
          <w:sz w:val="18"/>
          <w:szCs w:val="18"/>
          <w:vertAlign w:val="superscript"/>
        </w:rPr>
        <w:t>2</w:t>
      </w:r>
      <w:r>
        <w:rPr>
          <w:rFonts w:cstheme="minorHAnsi"/>
          <w:sz w:val="20"/>
          <w:szCs w:val="20"/>
        </w:rPr>
        <w:t>; Willington Ariho</w:t>
      </w:r>
      <w:r>
        <w:rPr>
          <w:rFonts w:cs="Calibri (Body)"/>
          <w:sz w:val="18"/>
          <w:szCs w:val="18"/>
          <w:vertAlign w:val="superscript"/>
        </w:rPr>
        <w:t>2</w:t>
      </w:r>
      <w:r>
        <w:rPr>
          <w:rFonts w:cstheme="minorHAnsi"/>
          <w:sz w:val="20"/>
          <w:szCs w:val="20"/>
        </w:rPr>
        <w:t>; Gloria Nattabi</w:t>
      </w:r>
      <w:r>
        <w:rPr>
          <w:rFonts w:cs="Calibri (Body)"/>
          <w:sz w:val="18"/>
          <w:szCs w:val="18"/>
          <w:vertAlign w:val="superscript"/>
        </w:rPr>
        <w:t>2</w:t>
      </w:r>
      <w:r>
        <w:rPr>
          <w:rFonts w:cstheme="minorHAnsi"/>
          <w:sz w:val="20"/>
          <w:szCs w:val="20"/>
        </w:rPr>
        <w:t>; Jenny Temple</w:t>
      </w:r>
      <w:r>
        <w:rPr>
          <w:rFonts w:cs="Calibri (Body)"/>
          <w:sz w:val="18"/>
          <w:szCs w:val="18"/>
          <w:vertAlign w:val="superscript"/>
        </w:rPr>
        <w:t>1</w:t>
      </w:r>
      <w:r>
        <w:rPr>
          <w:rFonts w:cstheme="minorHAnsi"/>
          <w:sz w:val="20"/>
          <w:szCs w:val="20"/>
        </w:rPr>
        <w:t>; Gabriel Chamie</w:t>
      </w:r>
      <w:r>
        <w:rPr>
          <w:rFonts w:cs="Calibri (Body)"/>
          <w:sz w:val="18"/>
          <w:szCs w:val="18"/>
          <w:vertAlign w:val="superscript"/>
        </w:rPr>
        <w:t>1</w:t>
      </w:r>
      <w:r>
        <w:rPr>
          <w:rFonts w:cstheme="minorHAnsi"/>
          <w:sz w:val="20"/>
          <w:szCs w:val="20"/>
        </w:rPr>
        <w:t>; Edwin D. Charlebois</w:t>
      </w:r>
      <w:r>
        <w:rPr>
          <w:rFonts w:cs="Calibri (Body)"/>
          <w:sz w:val="18"/>
          <w:szCs w:val="18"/>
          <w:vertAlign w:val="superscript"/>
        </w:rPr>
        <w:t>1</w:t>
      </w:r>
      <w:r>
        <w:rPr>
          <w:rFonts w:cstheme="minorHAnsi"/>
          <w:sz w:val="20"/>
          <w:szCs w:val="20"/>
        </w:rPr>
        <w:t>; Laura B. Balzer</w:t>
      </w:r>
      <w:r>
        <w:rPr>
          <w:rFonts w:cs="Calibri (Body)"/>
          <w:sz w:val="18"/>
          <w:szCs w:val="18"/>
          <w:vertAlign w:val="superscript"/>
        </w:rPr>
        <w:t>3</w:t>
      </w:r>
      <w:r>
        <w:rPr>
          <w:rFonts w:cstheme="minorHAnsi"/>
          <w:sz w:val="20"/>
          <w:szCs w:val="20"/>
        </w:rPr>
        <w:t>; Moses Kamya</w:t>
      </w:r>
      <w:r>
        <w:rPr>
          <w:rFonts w:cs="Calibri (Body)"/>
          <w:sz w:val="18"/>
          <w:szCs w:val="18"/>
          <w:vertAlign w:val="superscript"/>
        </w:rPr>
        <w:t>2,4</w:t>
      </w:r>
      <w:r>
        <w:rPr>
          <w:rFonts w:cstheme="minorHAnsi"/>
          <w:sz w:val="20"/>
          <w:szCs w:val="20"/>
        </w:rPr>
        <w:t>; Andrew D. Kerkhoff</w:t>
      </w:r>
      <w:r>
        <w:rPr>
          <w:rFonts w:cs="Calibri (Body)"/>
          <w:sz w:val="18"/>
          <w:szCs w:val="18"/>
          <w:vertAlign w:val="superscript"/>
        </w:rPr>
        <w:t>1</w:t>
      </w:r>
      <w:r>
        <w:rPr>
          <w:rFonts w:cstheme="minorHAnsi"/>
          <w:sz w:val="20"/>
          <w:szCs w:val="20"/>
        </w:rPr>
        <w:t>; Carina Marquez</w:t>
      </w:r>
      <w:r>
        <w:rPr>
          <w:rFonts w:cs="Calibri (Body)"/>
          <w:sz w:val="18"/>
          <w:szCs w:val="18"/>
          <w:vertAlign w:val="superscript"/>
        </w:rPr>
        <w:t>1</w:t>
      </w:r>
    </w:p>
    <w:p w14:paraId="2C8075B0" w14:textId="77777777" w:rsidR="00286D1B" w:rsidRDefault="004B1BBD">
      <w:pPr>
        <w:spacing w:line="240" w:lineRule="auto"/>
        <w:contextualSpacing/>
        <w:rPr>
          <w:rFonts w:cstheme="minorHAnsi"/>
          <w:sz w:val="18"/>
          <w:szCs w:val="18"/>
        </w:rPr>
      </w:pPr>
      <w:r>
        <w:rPr>
          <w:rFonts w:cs="Calibri (Body)"/>
          <w:sz w:val="18"/>
          <w:szCs w:val="18"/>
          <w:vertAlign w:val="superscript"/>
        </w:rPr>
        <w:t>1</w:t>
      </w:r>
      <w:r>
        <w:rPr>
          <w:rFonts w:cstheme="minorHAnsi"/>
          <w:sz w:val="18"/>
          <w:szCs w:val="18"/>
        </w:rPr>
        <w:t xml:space="preserve"> University of California, San Francisco- San Francisco, USA</w:t>
      </w:r>
    </w:p>
    <w:p w14:paraId="572FABA4" w14:textId="77777777" w:rsidR="00286D1B" w:rsidRDefault="004B1BBD">
      <w:pPr>
        <w:spacing w:line="240" w:lineRule="auto"/>
        <w:contextualSpacing/>
        <w:rPr>
          <w:rFonts w:cstheme="minorHAnsi"/>
          <w:sz w:val="18"/>
          <w:szCs w:val="18"/>
        </w:rPr>
      </w:pPr>
      <w:r>
        <w:rPr>
          <w:rFonts w:cs="Calibri (Body)"/>
          <w:sz w:val="18"/>
          <w:szCs w:val="18"/>
          <w:vertAlign w:val="superscript"/>
        </w:rPr>
        <w:t>2</w:t>
      </w:r>
      <w:r>
        <w:rPr>
          <w:rFonts w:cstheme="minorHAnsi"/>
          <w:sz w:val="18"/>
          <w:szCs w:val="18"/>
        </w:rPr>
        <w:t xml:space="preserve"> Infectious Diseases Research Collaboration- Kampala, Uganda</w:t>
      </w:r>
    </w:p>
    <w:p w14:paraId="5AD89016" w14:textId="77777777" w:rsidR="00286D1B" w:rsidRDefault="004B1BBD">
      <w:pPr>
        <w:spacing w:line="240" w:lineRule="auto"/>
        <w:contextualSpacing/>
        <w:rPr>
          <w:rFonts w:cstheme="minorHAnsi"/>
          <w:sz w:val="18"/>
          <w:szCs w:val="18"/>
        </w:rPr>
      </w:pPr>
      <w:r>
        <w:rPr>
          <w:rFonts w:cs="Calibri (Body)"/>
          <w:sz w:val="18"/>
          <w:szCs w:val="18"/>
          <w:vertAlign w:val="superscript"/>
        </w:rPr>
        <w:t>3</w:t>
      </w:r>
      <w:r>
        <w:rPr>
          <w:rFonts w:cstheme="minorHAnsi"/>
          <w:sz w:val="18"/>
          <w:szCs w:val="18"/>
        </w:rPr>
        <w:t xml:space="preserve"> University of California, Berkeley- Berkeley, California</w:t>
      </w:r>
    </w:p>
    <w:p w14:paraId="411C9035" w14:textId="77777777" w:rsidR="00286D1B" w:rsidRDefault="004B1BBD">
      <w:pPr>
        <w:spacing w:line="240" w:lineRule="auto"/>
        <w:contextualSpacing/>
        <w:rPr>
          <w:rFonts w:cstheme="minorHAnsi"/>
          <w:sz w:val="18"/>
          <w:szCs w:val="18"/>
        </w:rPr>
      </w:pPr>
      <w:r>
        <w:rPr>
          <w:rFonts w:cs="Calibri (Body)"/>
          <w:sz w:val="18"/>
          <w:szCs w:val="18"/>
          <w:vertAlign w:val="superscript"/>
        </w:rPr>
        <w:t>4</w:t>
      </w:r>
      <w:r>
        <w:rPr>
          <w:rFonts w:cstheme="minorHAnsi"/>
          <w:sz w:val="18"/>
          <w:szCs w:val="18"/>
        </w:rPr>
        <w:t xml:space="preserve"> Makerere University- Kampala, Uganda</w:t>
      </w:r>
    </w:p>
    <w:p w14:paraId="7FD51086" w14:textId="77777777" w:rsidR="00286D1B" w:rsidRDefault="00286D1B">
      <w:pPr>
        <w:rPr>
          <w:rFonts w:cstheme="minorHAnsi"/>
          <w:sz w:val="20"/>
          <w:szCs w:val="20"/>
        </w:rPr>
      </w:pPr>
    </w:p>
    <w:p w14:paraId="2BE7EBA1" w14:textId="77777777" w:rsidR="00286D1B" w:rsidRDefault="004B1BBD">
      <w:pPr>
        <w:rPr>
          <w:rFonts w:cstheme="minorHAnsi"/>
          <w:sz w:val="20"/>
          <w:szCs w:val="20"/>
        </w:rPr>
      </w:pPr>
      <w:r>
        <w:rPr>
          <w:rFonts w:cstheme="minorHAnsi"/>
          <w:b/>
          <w:bCs/>
          <w:sz w:val="20"/>
          <w:szCs w:val="20"/>
        </w:rPr>
        <w:t>Background:</w:t>
      </w:r>
      <w:r>
        <w:rPr>
          <w:rFonts w:cstheme="minorHAnsi"/>
          <w:sz w:val="20"/>
          <w:szCs w:val="20"/>
        </w:rPr>
        <w:t xml:space="preserve"> Venue-based tuberculosis (TB) active case-finding (ACF) is a promising strategy for earlier case-detection and transmission reduction. Yet, preference and acceptability data to guide implementation remain limited, particularly for interventions tailored to youth. We elicited preferences and assessed acceptability for ACF in video halls – semi-structured indoor venues where mainly male youth watch sports videos, and a venue-type we previously identified as associated with increased risk of incident TB infection.</w:t>
      </w:r>
    </w:p>
    <w:p w14:paraId="7B473835" w14:textId="77777777" w:rsidR="00286D1B" w:rsidRDefault="004B1BBD">
      <w:pPr>
        <w:rPr>
          <w:rFonts w:cstheme="minorHAnsi"/>
          <w:sz w:val="20"/>
          <w:szCs w:val="20"/>
        </w:rPr>
      </w:pPr>
      <w:r>
        <w:rPr>
          <w:rFonts w:cstheme="minorHAnsi"/>
          <w:b/>
          <w:bCs/>
          <w:sz w:val="20"/>
          <w:szCs w:val="20"/>
        </w:rPr>
        <w:t>Methods:</w:t>
      </w:r>
      <w:r>
        <w:rPr>
          <w:rFonts w:cstheme="minorHAnsi"/>
          <w:sz w:val="20"/>
          <w:szCs w:val="20"/>
        </w:rPr>
        <w:t xml:space="preserve"> We conducted a best-worst scaling (BWS) survey among youth (12-24 years) who visit video halls in rural Southwestern Uganda. The BWS survey assessed 5 attributes of a potential ACF intervention, each with 2-4 options (15 total). Attributes </w:t>
      </w:r>
      <w:proofErr w:type="gramStart"/>
      <w:r>
        <w:rPr>
          <w:rFonts w:cstheme="minorHAnsi"/>
          <w:sz w:val="20"/>
          <w:szCs w:val="20"/>
        </w:rPr>
        <w:t>were:</w:t>
      </w:r>
      <w:proofErr w:type="gramEnd"/>
      <w:r>
        <w:rPr>
          <w:rFonts w:cstheme="minorHAnsi"/>
          <w:sz w:val="20"/>
          <w:szCs w:val="20"/>
        </w:rPr>
        <w:t xml:space="preserve"> days/times, location of screening, method of screening, person conducting screening, and co-offered health services. Hierarchical Bayesian modeling was used to estimate individual-level mean preference weights (MPWs), with higher scores indicating greater preferences. Acceptability was assessed using Likert scale questions.</w:t>
      </w:r>
    </w:p>
    <w:p w14:paraId="76443659" w14:textId="77777777" w:rsidR="00286D1B" w:rsidRDefault="004B1BBD">
      <w:pPr>
        <w:rPr>
          <w:rFonts w:cstheme="minorHAnsi"/>
          <w:sz w:val="20"/>
          <w:szCs w:val="20"/>
        </w:rPr>
      </w:pPr>
      <w:r>
        <w:rPr>
          <w:rFonts w:cstheme="minorHAnsi"/>
          <w:b/>
          <w:bCs/>
          <w:sz w:val="20"/>
          <w:szCs w:val="20"/>
        </w:rPr>
        <w:t>Results:</w:t>
      </w:r>
      <w:r>
        <w:rPr>
          <w:rFonts w:cstheme="minorHAnsi"/>
          <w:sz w:val="20"/>
          <w:szCs w:val="20"/>
        </w:rPr>
        <w:t xml:space="preserve"> We enrolled 97 youth (median age 21, 75% male). In the BWS, services co-offered with TB screening drove preferences, with a strong preference for health education (MPW=16.5) then HIV/STI screening (MPW=13.9). For other attributes, participants most preferred screening in tents (MPW=11.3), by healthcare workers (MPW=10.9; over 6x more preferred than community health workers, MPW=1.7), on weekend afternoons (MPW=10.9), and using chest x-rays (MPW=7.5). The majority found ACF in video halls acceptable, with 97% extremely/somewhat willing to participate.</w:t>
      </w:r>
    </w:p>
    <w:p w14:paraId="31E5E028" w14:textId="77777777" w:rsidR="00286D1B" w:rsidRDefault="004B1BBD">
      <w:pPr>
        <w:rPr>
          <w:rFonts w:cstheme="minorHAnsi"/>
          <w:sz w:val="20"/>
          <w:szCs w:val="20"/>
        </w:rPr>
      </w:pPr>
      <w:r>
        <w:rPr>
          <w:rFonts w:cstheme="minorHAnsi"/>
          <w:b/>
          <w:bCs/>
          <w:sz w:val="20"/>
          <w:szCs w:val="20"/>
        </w:rPr>
        <w:t>Conclusions:</w:t>
      </w:r>
      <w:r>
        <w:rPr>
          <w:rFonts w:cstheme="minorHAnsi"/>
          <w:sz w:val="20"/>
          <w:szCs w:val="20"/>
        </w:rPr>
        <w:t xml:space="preserve"> We found clear preferences that should inform program design of ACF in video halls, which was highly acceptable among youth. Person-type conducting screening stood out, with a clear preference for healthcare workers; screening by community health workers was the least preferred option overall. Providing choice and co-offered health services could reduce individual-issue stigma and increase overall value and participation among youth</w:t>
      </w:r>
    </w:p>
    <w:p w14:paraId="5AD520B1" w14:textId="77777777" w:rsidR="00691E24" w:rsidRDefault="00691E24">
      <w:pPr>
        <w:rPr>
          <w:rFonts w:eastAsia="Times New Roman"/>
          <w:color w:val="000000" w:themeColor="text1"/>
          <w:sz w:val="24"/>
          <w:szCs w:val="24"/>
        </w:rPr>
      </w:pPr>
      <w:r>
        <w:rPr>
          <w:rFonts w:eastAsia="Times New Roman"/>
        </w:rPr>
        <w:br w:type="page"/>
      </w:r>
    </w:p>
    <w:p w14:paraId="3D540F0D" w14:textId="77777777" w:rsidR="00286D1B" w:rsidRDefault="004B1BBD">
      <w:pPr>
        <w:pStyle w:val="Heading2"/>
        <w:rPr>
          <w:rFonts w:asciiTheme="minorHAnsi" w:eastAsia="Times New Roman" w:hAnsiTheme="minorHAnsi" w:cstheme="minorBidi"/>
        </w:rPr>
      </w:pPr>
      <w:bookmarkStart w:id="15" w:name="_Toc238729443"/>
      <w:r>
        <w:rPr>
          <w:rFonts w:asciiTheme="minorHAnsi" w:eastAsia="Times New Roman" w:hAnsiTheme="minorHAnsi" w:cstheme="minorBidi"/>
        </w:rPr>
        <w:lastRenderedPageBreak/>
        <w:t>PP-02: Rishika Baral, UC Berkeley</w:t>
      </w:r>
      <w:bookmarkEnd w:id="15"/>
    </w:p>
    <w:p w14:paraId="5CD23D03" w14:textId="77777777" w:rsidR="00286D1B" w:rsidRDefault="00286D1B">
      <w:pPr>
        <w:rPr>
          <w:rFonts w:cstheme="minorHAnsi"/>
          <w:sz w:val="20"/>
          <w:szCs w:val="20"/>
        </w:rPr>
      </w:pPr>
    </w:p>
    <w:p w14:paraId="087B8D63" w14:textId="77777777" w:rsidR="00286D1B" w:rsidRDefault="004B1BBD">
      <w:pPr>
        <w:rPr>
          <w:rFonts w:cstheme="minorHAnsi"/>
          <w:sz w:val="24"/>
          <w:szCs w:val="24"/>
        </w:rPr>
      </w:pPr>
      <w:r>
        <w:rPr>
          <w:rFonts w:cstheme="minorHAnsi"/>
          <w:b/>
          <w:bCs/>
          <w:sz w:val="24"/>
          <w:szCs w:val="24"/>
        </w:rPr>
        <w:t>PPE3 is a potential shuttle for lactate into M. tuberculosis</w:t>
      </w:r>
    </w:p>
    <w:p w14:paraId="06EBB4A8" w14:textId="77777777" w:rsidR="00286D1B" w:rsidRDefault="004B1BBD">
      <w:pPr>
        <w:rPr>
          <w:rFonts w:cstheme="minorHAnsi"/>
          <w:sz w:val="20"/>
          <w:szCs w:val="20"/>
        </w:rPr>
      </w:pPr>
      <w:r>
        <w:rPr>
          <w:rFonts w:cstheme="minorHAnsi"/>
          <w:sz w:val="20"/>
          <w:szCs w:val="20"/>
        </w:rPr>
        <w:t>Rishika Baral, UC Berkeley</w:t>
      </w:r>
    </w:p>
    <w:p w14:paraId="1B7E5285" w14:textId="77777777" w:rsidR="00286D1B" w:rsidRDefault="004B1BBD">
      <w:pPr>
        <w:rPr>
          <w:rFonts w:eastAsia="Aptos" w:cstheme="minorHAnsi"/>
          <w:sz w:val="20"/>
        </w:rPr>
      </w:pPr>
      <w:r>
        <w:rPr>
          <w:rFonts w:eastAsia="Aptos" w:cstheme="minorHAnsi"/>
          <w:sz w:val="20"/>
        </w:rPr>
        <w:t xml:space="preserve">Email: </w:t>
      </w:r>
      <w:hyperlink r:id="rId21" w:history="1">
        <w:r>
          <w:rPr>
            <w:rStyle w:val="Hyperlink"/>
            <w:rFonts w:eastAsia="Aptos" w:cstheme="minorHAnsi"/>
            <w:sz w:val="20"/>
          </w:rPr>
          <w:t>rishikabaral@berkeley.edu</w:t>
        </w:r>
      </w:hyperlink>
    </w:p>
    <w:p w14:paraId="583088B7" w14:textId="77777777" w:rsidR="00286D1B" w:rsidRDefault="00286D1B">
      <w:pPr>
        <w:rPr>
          <w:rFonts w:cstheme="minorHAnsi"/>
          <w:sz w:val="20"/>
          <w:szCs w:val="20"/>
        </w:rPr>
      </w:pPr>
    </w:p>
    <w:p w14:paraId="58F9AA7F" w14:textId="77777777" w:rsidR="00286D1B" w:rsidRDefault="004B1BBD">
      <w:pPr>
        <w:rPr>
          <w:rFonts w:cstheme="minorHAnsi"/>
          <w:sz w:val="20"/>
          <w:szCs w:val="20"/>
        </w:rPr>
      </w:pPr>
      <w:r>
        <w:rPr>
          <w:rFonts w:cstheme="minorHAnsi"/>
          <w:sz w:val="20"/>
          <w:szCs w:val="20"/>
        </w:rPr>
        <w:t>Baral, Rishika</w:t>
      </w:r>
      <w:r>
        <w:rPr>
          <w:rFonts w:cs="Calibri (Body)"/>
          <w:sz w:val="18"/>
          <w:szCs w:val="18"/>
          <w:vertAlign w:val="superscript"/>
        </w:rPr>
        <w:t>1</w:t>
      </w:r>
      <w:r>
        <w:rPr>
          <w:rFonts w:cstheme="minorHAnsi"/>
          <w:sz w:val="20"/>
          <w:szCs w:val="20"/>
        </w:rPr>
        <w:t>; Dinshaw, Kayla</w:t>
      </w:r>
      <w:r>
        <w:rPr>
          <w:rFonts w:cs="Calibri (Body)"/>
          <w:sz w:val="18"/>
          <w:szCs w:val="18"/>
          <w:vertAlign w:val="superscript"/>
        </w:rPr>
        <w:t>1</w:t>
      </w:r>
      <w:r>
        <w:rPr>
          <w:rFonts w:cstheme="minorHAnsi"/>
          <w:sz w:val="20"/>
          <w:szCs w:val="20"/>
        </w:rPr>
        <w:t>; Stanley, Sarah</w:t>
      </w:r>
      <w:r>
        <w:rPr>
          <w:rFonts w:cs="Calibri (Body)"/>
          <w:sz w:val="18"/>
          <w:szCs w:val="18"/>
          <w:vertAlign w:val="superscript"/>
        </w:rPr>
        <w:t>1</w:t>
      </w:r>
    </w:p>
    <w:p w14:paraId="7D0EB80E" w14:textId="77777777" w:rsidR="00286D1B" w:rsidRDefault="00086597">
      <w:pPr>
        <w:spacing w:line="240" w:lineRule="auto"/>
        <w:contextualSpacing/>
        <w:rPr>
          <w:rFonts w:cstheme="minorHAnsi"/>
          <w:sz w:val="18"/>
          <w:szCs w:val="18"/>
        </w:rPr>
      </w:pPr>
      <w:r>
        <w:rPr>
          <w:rFonts w:cs="Calibri (Body)"/>
          <w:sz w:val="18"/>
          <w:szCs w:val="18"/>
          <w:vertAlign w:val="superscript"/>
        </w:rPr>
        <w:t xml:space="preserve">1 </w:t>
      </w:r>
      <w:r>
        <w:rPr>
          <w:rFonts w:cstheme="minorHAnsi"/>
          <w:sz w:val="18"/>
          <w:szCs w:val="18"/>
        </w:rPr>
        <w:t>UC Berkeley, Berkeley, California</w:t>
      </w:r>
    </w:p>
    <w:p w14:paraId="38B7DCD5" w14:textId="77777777" w:rsidR="00286D1B" w:rsidRDefault="00286D1B">
      <w:pPr>
        <w:rPr>
          <w:rFonts w:cstheme="minorHAnsi"/>
          <w:sz w:val="20"/>
          <w:szCs w:val="20"/>
        </w:rPr>
      </w:pPr>
    </w:p>
    <w:p w14:paraId="009FB8DD" w14:textId="77777777" w:rsidR="00286D1B" w:rsidRDefault="004B1BBD">
      <w:pPr>
        <w:rPr>
          <w:rFonts w:cstheme="minorHAnsi"/>
          <w:sz w:val="20"/>
          <w:szCs w:val="20"/>
        </w:rPr>
      </w:pPr>
      <w:r>
        <w:rPr>
          <w:rFonts w:cstheme="minorHAnsi"/>
          <w:sz w:val="20"/>
          <w:szCs w:val="20"/>
        </w:rPr>
        <w:t xml:space="preserve">Mycobacterium tuberculosis (Mtb) is a pathogen that cause ≥ 1 million deaths per year. Virulence of Mtb is dependent on specialized protein transport of nutrients and metabolites across the highly complex mycomembrane. Mtb utilizes five type VII protein secretion systems (ESX-1 through ESX-5) for virulence and survival in the host, but not </w:t>
      </w:r>
      <w:proofErr w:type="gramStart"/>
      <w:r>
        <w:rPr>
          <w:rFonts w:cstheme="minorHAnsi"/>
          <w:sz w:val="20"/>
          <w:szCs w:val="20"/>
        </w:rPr>
        <w:t>all of</w:t>
      </w:r>
      <w:proofErr w:type="gramEnd"/>
      <w:r>
        <w:rPr>
          <w:rFonts w:cstheme="minorHAnsi"/>
          <w:sz w:val="20"/>
          <w:szCs w:val="20"/>
        </w:rPr>
        <w:t xml:space="preserve"> the functions of each of these systems are well characterized. ESX-5 is necessary for the secretion of many proteins, including many of the PE/PPE proteins. PE/PPE proteins are a family of proteins with conserved N-terminal Pro-Glu (PE) or Pro-Pro-Glu (PPE) motifs, which are secreted across the inner membrane via the ESX secretion systems and make up about 10% of the mycobacterium genome. PE/PPE proteins are thought to be secreted as heterodimers, as PE-PPE protein pairs, but there is limited understanding about the functions of these proteins. PE/PPE proteins are critical for nutrient acquisition and are implicated in host immune system modulation, making them a good target for Mtb therapeutics. We have found that PPE3 is required for Mtb growth on carbon sources, D- and L-Lactate, potentially through ESX-5. PPE3 is also required for virulence in the host, as a PPE3 transposon is attenuated for growth in </w:t>
      </w:r>
      <w:proofErr w:type="gramStart"/>
      <w:r>
        <w:rPr>
          <w:rFonts w:cstheme="minorHAnsi"/>
          <w:sz w:val="20"/>
          <w:szCs w:val="20"/>
        </w:rPr>
        <w:t>mice  Since</w:t>
      </w:r>
      <w:proofErr w:type="gramEnd"/>
      <w:r>
        <w:rPr>
          <w:rFonts w:cstheme="minorHAnsi"/>
          <w:sz w:val="20"/>
          <w:szCs w:val="20"/>
        </w:rPr>
        <w:t xml:space="preserve"> Mtb requires host nutrients for virulence, this could potentially elucidate how the pathogen utilizes and shuttles vital nutrients from the host across its impenetrable membrane.</w:t>
      </w:r>
    </w:p>
    <w:p w14:paraId="0A83B5D4" w14:textId="77777777" w:rsidR="00691E24" w:rsidRDefault="00691E24">
      <w:pPr>
        <w:rPr>
          <w:rFonts w:eastAsia="Times New Roman"/>
          <w:color w:val="000000" w:themeColor="text1"/>
          <w:sz w:val="24"/>
          <w:szCs w:val="24"/>
        </w:rPr>
      </w:pPr>
      <w:r>
        <w:rPr>
          <w:rFonts w:eastAsia="Times New Roman"/>
        </w:rPr>
        <w:br w:type="page"/>
      </w:r>
    </w:p>
    <w:p w14:paraId="79E33AB0" w14:textId="77777777" w:rsidR="00286D1B" w:rsidRDefault="004B1BBD">
      <w:pPr>
        <w:pStyle w:val="Heading2"/>
        <w:rPr>
          <w:rFonts w:asciiTheme="minorHAnsi" w:eastAsia="Times New Roman" w:hAnsiTheme="minorHAnsi" w:cstheme="minorBidi"/>
        </w:rPr>
      </w:pPr>
      <w:bookmarkStart w:id="16" w:name="_Toc238729444"/>
      <w:r>
        <w:rPr>
          <w:rFonts w:asciiTheme="minorHAnsi" w:eastAsia="Times New Roman" w:hAnsiTheme="minorHAnsi" w:cstheme="minorBidi"/>
        </w:rPr>
        <w:lastRenderedPageBreak/>
        <w:t>PP-03: Jonathan Budzik, UCSF</w:t>
      </w:r>
      <w:bookmarkEnd w:id="16"/>
    </w:p>
    <w:p w14:paraId="1D4F71E1" w14:textId="77777777" w:rsidR="00286D1B" w:rsidRDefault="00286D1B">
      <w:pPr>
        <w:rPr>
          <w:rFonts w:cstheme="minorHAnsi"/>
          <w:sz w:val="20"/>
          <w:szCs w:val="20"/>
        </w:rPr>
      </w:pPr>
    </w:p>
    <w:p w14:paraId="0BD0913E" w14:textId="77777777" w:rsidR="00286D1B" w:rsidRDefault="004B1BBD">
      <w:pPr>
        <w:rPr>
          <w:rFonts w:cstheme="minorHAnsi"/>
          <w:sz w:val="24"/>
          <w:szCs w:val="24"/>
        </w:rPr>
      </w:pPr>
      <w:r>
        <w:rPr>
          <w:rFonts w:cstheme="minorHAnsi"/>
          <w:b/>
          <w:bCs/>
          <w:sz w:val="24"/>
          <w:szCs w:val="24"/>
        </w:rPr>
        <w:t>Optineurin-deficiency Collapses the Host Endolysosomal Network and Impairs Xenophagy to Accelerate Mycobacterium tuberculosis Pathogenesis</w:t>
      </w:r>
    </w:p>
    <w:p w14:paraId="5B60BC75" w14:textId="77777777" w:rsidR="00286D1B" w:rsidRDefault="004B1BBD">
      <w:pPr>
        <w:rPr>
          <w:rFonts w:cstheme="minorHAnsi"/>
          <w:sz w:val="20"/>
          <w:szCs w:val="20"/>
        </w:rPr>
      </w:pPr>
      <w:r>
        <w:rPr>
          <w:rFonts w:cstheme="minorHAnsi"/>
          <w:sz w:val="20"/>
          <w:szCs w:val="20"/>
        </w:rPr>
        <w:t>Jonathan Budzik, UCSF</w:t>
      </w:r>
    </w:p>
    <w:p w14:paraId="292AB28A" w14:textId="77777777" w:rsidR="00286D1B" w:rsidRDefault="004B1BBD">
      <w:pPr>
        <w:rPr>
          <w:rFonts w:eastAsia="Aptos" w:cstheme="minorHAnsi"/>
          <w:sz w:val="20"/>
        </w:rPr>
      </w:pPr>
      <w:r>
        <w:rPr>
          <w:rFonts w:eastAsia="Aptos" w:cstheme="minorHAnsi"/>
          <w:sz w:val="20"/>
        </w:rPr>
        <w:t xml:space="preserve">Email: </w:t>
      </w:r>
      <w:hyperlink r:id="rId22" w:history="1">
        <w:r>
          <w:rPr>
            <w:rStyle w:val="Hyperlink"/>
            <w:rFonts w:eastAsia="Aptos" w:cstheme="minorHAnsi"/>
            <w:sz w:val="20"/>
          </w:rPr>
          <w:t>jonathan.budzik2@ucsf.edu</w:t>
        </w:r>
      </w:hyperlink>
    </w:p>
    <w:p w14:paraId="66103065" w14:textId="77777777" w:rsidR="00286D1B" w:rsidRDefault="00286D1B">
      <w:pPr>
        <w:rPr>
          <w:rFonts w:cstheme="minorHAnsi"/>
          <w:sz w:val="20"/>
          <w:szCs w:val="20"/>
        </w:rPr>
      </w:pPr>
    </w:p>
    <w:p w14:paraId="161D91D9" w14:textId="77777777" w:rsidR="00286D1B" w:rsidRDefault="004B1BBD">
      <w:pPr>
        <w:rPr>
          <w:rFonts w:cstheme="minorHAnsi"/>
          <w:sz w:val="20"/>
          <w:szCs w:val="20"/>
        </w:rPr>
      </w:pPr>
      <w:r>
        <w:rPr>
          <w:rFonts w:cstheme="minorHAnsi"/>
          <w:sz w:val="20"/>
          <w:szCs w:val="20"/>
        </w:rPr>
        <w:t>Abeydeera, Nalin</w:t>
      </w:r>
      <w:r>
        <w:rPr>
          <w:rFonts w:cs="Calibri (Body)"/>
          <w:sz w:val="18"/>
          <w:szCs w:val="18"/>
          <w:vertAlign w:val="superscript"/>
        </w:rPr>
        <w:t>1</w:t>
      </w:r>
      <w:r>
        <w:rPr>
          <w:rFonts w:cstheme="minorHAnsi"/>
          <w:sz w:val="20"/>
          <w:szCs w:val="20"/>
        </w:rPr>
        <w:t>; Chin, Jeffrey</w:t>
      </w:r>
      <w:r>
        <w:rPr>
          <w:rFonts w:cs="Calibri (Body)"/>
          <w:sz w:val="18"/>
          <w:szCs w:val="18"/>
          <w:vertAlign w:val="superscript"/>
        </w:rPr>
        <w:t>1</w:t>
      </w:r>
      <w:r>
        <w:rPr>
          <w:rFonts w:cstheme="minorHAnsi"/>
          <w:sz w:val="20"/>
          <w:szCs w:val="20"/>
        </w:rPr>
        <w:t>; Ruvalcaba, Angel</w:t>
      </w:r>
      <w:r>
        <w:rPr>
          <w:rFonts w:cs="Calibri (Body)"/>
          <w:sz w:val="18"/>
          <w:szCs w:val="18"/>
          <w:vertAlign w:val="superscript"/>
        </w:rPr>
        <w:t>1</w:t>
      </w:r>
      <w:r>
        <w:rPr>
          <w:rFonts w:cstheme="minorHAnsi"/>
          <w:sz w:val="20"/>
          <w:szCs w:val="20"/>
        </w:rPr>
        <w:t>; Amin, Khushi</w:t>
      </w:r>
      <w:r>
        <w:rPr>
          <w:rFonts w:cs="Calibri (Body)"/>
          <w:sz w:val="18"/>
          <w:szCs w:val="18"/>
          <w:vertAlign w:val="superscript"/>
        </w:rPr>
        <w:t>1</w:t>
      </w:r>
      <w:r>
        <w:rPr>
          <w:rFonts w:cstheme="minorHAnsi"/>
          <w:sz w:val="20"/>
          <w:szCs w:val="20"/>
        </w:rPr>
        <w:t>; Nguyen, Vinh</w:t>
      </w:r>
      <w:r>
        <w:rPr>
          <w:rFonts w:cs="Calibri (Body)"/>
          <w:sz w:val="18"/>
          <w:szCs w:val="18"/>
          <w:vertAlign w:val="superscript"/>
        </w:rPr>
        <w:t>1</w:t>
      </w:r>
      <w:r>
        <w:rPr>
          <w:rFonts w:cstheme="minorHAnsi"/>
          <w:sz w:val="20"/>
          <w:szCs w:val="20"/>
        </w:rPr>
        <w:t>; Chang, Joshua</w:t>
      </w:r>
      <w:r>
        <w:rPr>
          <w:rFonts w:cs="Calibri (Body)"/>
          <w:sz w:val="18"/>
          <w:szCs w:val="18"/>
          <w:vertAlign w:val="superscript"/>
        </w:rPr>
        <w:t>1</w:t>
      </w:r>
      <w:r>
        <w:rPr>
          <w:rFonts w:cstheme="minorHAnsi"/>
          <w:sz w:val="20"/>
          <w:szCs w:val="20"/>
        </w:rPr>
        <w:t>; Yin, Katherine</w:t>
      </w:r>
      <w:r>
        <w:rPr>
          <w:rFonts w:cs="Calibri (Body)"/>
          <w:sz w:val="18"/>
          <w:szCs w:val="18"/>
          <w:vertAlign w:val="superscript"/>
        </w:rPr>
        <w:t>1,2</w:t>
      </w:r>
      <w:r>
        <w:rPr>
          <w:rFonts w:cstheme="minorHAnsi"/>
          <w:sz w:val="20"/>
          <w:szCs w:val="20"/>
        </w:rPr>
        <w:t>; Ernst, Joel</w:t>
      </w:r>
      <w:r>
        <w:rPr>
          <w:rFonts w:cs="Calibri (Body)"/>
          <w:sz w:val="18"/>
          <w:szCs w:val="18"/>
          <w:vertAlign w:val="superscript"/>
        </w:rPr>
        <w:t>1</w:t>
      </w:r>
      <w:r>
        <w:rPr>
          <w:rFonts w:cstheme="minorHAnsi"/>
          <w:sz w:val="20"/>
          <w:szCs w:val="20"/>
        </w:rPr>
        <w:t>; Budzik, Jonathan</w:t>
      </w:r>
      <w:r>
        <w:rPr>
          <w:rFonts w:cs="Calibri (Body)"/>
          <w:sz w:val="18"/>
          <w:szCs w:val="18"/>
          <w:vertAlign w:val="superscript"/>
        </w:rPr>
        <w:t>1</w:t>
      </w:r>
    </w:p>
    <w:p w14:paraId="0770EEAD" w14:textId="77777777" w:rsidR="00286D1B" w:rsidRDefault="004B1BBD">
      <w:pPr>
        <w:spacing w:line="240" w:lineRule="auto"/>
        <w:contextualSpacing/>
        <w:rPr>
          <w:rFonts w:cstheme="minorHAnsi"/>
          <w:sz w:val="18"/>
          <w:szCs w:val="18"/>
        </w:rPr>
      </w:pPr>
      <w:r>
        <w:rPr>
          <w:rFonts w:cs="Calibri (Body)"/>
          <w:sz w:val="18"/>
          <w:szCs w:val="18"/>
          <w:vertAlign w:val="superscript"/>
        </w:rPr>
        <w:t>1</w:t>
      </w:r>
      <w:r>
        <w:rPr>
          <w:rFonts w:cstheme="minorHAnsi"/>
          <w:sz w:val="18"/>
          <w:szCs w:val="18"/>
        </w:rPr>
        <w:t xml:space="preserve"> University of California, San Francisco, San Francisco, CA, USA</w:t>
      </w:r>
    </w:p>
    <w:p w14:paraId="12812935" w14:textId="77777777" w:rsidR="00286D1B" w:rsidRDefault="004B1BBD">
      <w:pPr>
        <w:spacing w:line="240" w:lineRule="auto"/>
        <w:contextualSpacing/>
        <w:rPr>
          <w:rFonts w:cstheme="minorHAnsi"/>
          <w:sz w:val="18"/>
          <w:szCs w:val="18"/>
        </w:rPr>
      </w:pPr>
      <w:r>
        <w:rPr>
          <w:rFonts w:cs="Calibri (Body)"/>
          <w:sz w:val="18"/>
          <w:szCs w:val="18"/>
          <w:vertAlign w:val="superscript"/>
        </w:rPr>
        <w:t>2</w:t>
      </w:r>
      <w:r>
        <w:rPr>
          <w:rFonts w:cstheme="minorHAnsi"/>
          <w:sz w:val="18"/>
          <w:szCs w:val="18"/>
        </w:rPr>
        <w:t xml:space="preserve"> Current </w:t>
      </w:r>
      <w:proofErr w:type="gramStart"/>
      <w:r>
        <w:rPr>
          <w:rFonts w:cstheme="minorHAnsi"/>
          <w:sz w:val="18"/>
          <w:szCs w:val="18"/>
        </w:rPr>
        <w:t>affiliation</w:t>
      </w:r>
      <w:proofErr w:type="gramEnd"/>
      <w:r>
        <w:rPr>
          <w:rFonts w:cstheme="minorHAnsi"/>
          <w:sz w:val="18"/>
          <w:szCs w:val="18"/>
        </w:rPr>
        <w:t>: University of California, Berkeley, Berkeley, CA, USA</w:t>
      </w:r>
    </w:p>
    <w:p w14:paraId="00169F3D" w14:textId="77777777" w:rsidR="00286D1B" w:rsidRDefault="00286D1B">
      <w:pPr>
        <w:rPr>
          <w:rFonts w:cstheme="minorHAnsi"/>
          <w:sz w:val="20"/>
          <w:szCs w:val="20"/>
        </w:rPr>
      </w:pPr>
    </w:p>
    <w:p w14:paraId="7EE7977C" w14:textId="77777777" w:rsidR="00286D1B" w:rsidRDefault="004B1BBD">
      <w:pPr>
        <w:rPr>
          <w:rFonts w:cstheme="minorHAnsi"/>
          <w:sz w:val="20"/>
          <w:szCs w:val="20"/>
        </w:rPr>
      </w:pPr>
      <w:r>
        <w:rPr>
          <w:rFonts w:cstheme="minorHAnsi"/>
          <w:sz w:val="20"/>
          <w:szCs w:val="20"/>
        </w:rPr>
        <w:t>The host macrophage relies on specialized xenophagy pathways to capture, compartmentalize, and restrict the intracellular replication of Mycobacterium tuberculosis (Mtb). Optineurin is a critical selective autophagy receptor, yet the physiological impact of its deficiency on endolysosomal dynamics and in vivo tuberculosis pathogenesis remains poorly defined. Using high-content imaging in bone marrow-derived macrophages, we show that Optineurin-deficiency collapses the host endolysosomal network, reducing structural LAMP1⁺ and acidified LysoTracker⁺ reserves by half, while diminishing global proteolytic capacity and functional cargo delivery to the pathogen vacuole. Surprisingly, steady-state pathogen profiling revealed no alterations in the recruitment of upstream ubiquitin-dependent xenophagy markers—including polyubiquitin, phosphorylated-TBK1, and cargo receptors Tax1bp1 and p62—confirming that Optineurin is dispensable for initial pathogen surveillance and cargo recognition. Instead, escalating-dose bafilomycin A1 flux assays demonstrated that Optineurin-deficiency selectively halts the dynamic, directional trafficking and structural delivery of autophagosomes to the pathogen vacuole. Genetic mutagenesis further revealed that site-specific phosphorylation within three independent functional domains—the LIR motif (S187), UBAN domain (S530), and zinc finger domain (S556)—is individually required for Optineurin-mediated host restriction. Deprived of autophagic containment, Mtb replication is enhanced in Optineurin-deficient macrophages, prematurely driving host cells toward accelerated necrotic-like cell death on day 4 post-infection. Finally, acute-phase aerosol infection of Optineurin-deficient mice resulted in a 1-log increase in pulmonary Mtb burden, systemic dissemination, myeloid cell infiltration, and shifted the IL1-beta/IFN-beta inflammatory balance. Collectively, these findings demonstrate that OPTN functions as a foundational structural scaffold, and its deficiency compromises pathogen-directed autophagic flux, thereby disrupting innate host defense against Mtb.</w:t>
      </w:r>
    </w:p>
    <w:p w14:paraId="15AB7653" w14:textId="77777777" w:rsidR="00691E24" w:rsidRDefault="00691E24">
      <w:pPr>
        <w:rPr>
          <w:rFonts w:eastAsia="Times New Roman"/>
          <w:color w:val="000000" w:themeColor="text1"/>
          <w:sz w:val="24"/>
          <w:szCs w:val="24"/>
        </w:rPr>
      </w:pPr>
      <w:r>
        <w:rPr>
          <w:rFonts w:eastAsia="Times New Roman"/>
        </w:rPr>
        <w:br w:type="page"/>
      </w:r>
    </w:p>
    <w:p w14:paraId="6DE6FC15" w14:textId="77777777" w:rsidR="00286D1B" w:rsidRDefault="004B1BBD">
      <w:pPr>
        <w:pStyle w:val="Heading2"/>
        <w:rPr>
          <w:rFonts w:asciiTheme="minorHAnsi" w:eastAsia="Times New Roman" w:hAnsiTheme="minorHAnsi" w:cstheme="minorBidi"/>
        </w:rPr>
      </w:pPr>
      <w:bookmarkStart w:id="17" w:name="_Toc238729445"/>
      <w:r>
        <w:rPr>
          <w:rFonts w:asciiTheme="minorHAnsi" w:eastAsia="Times New Roman" w:hAnsiTheme="minorHAnsi" w:cstheme="minorBidi"/>
        </w:rPr>
        <w:lastRenderedPageBreak/>
        <w:t>PP-04: Robert Castro, University of California San Francisco</w:t>
      </w:r>
      <w:bookmarkEnd w:id="17"/>
    </w:p>
    <w:p w14:paraId="516198BB" w14:textId="77777777" w:rsidR="00286D1B" w:rsidRDefault="00286D1B">
      <w:pPr>
        <w:rPr>
          <w:rFonts w:cstheme="minorHAnsi"/>
          <w:sz w:val="20"/>
          <w:szCs w:val="20"/>
        </w:rPr>
      </w:pPr>
    </w:p>
    <w:p w14:paraId="282D1560" w14:textId="77777777" w:rsidR="00286D1B" w:rsidRDefault="004B1BBD">
      <w:pPr>
        <w:rPr>
          <w:rFonts w:cstheme="minorHAnsi"/>
          <w:sz w:val="24"/>
          <w:szCs w:val="24"/>
        </w:rPr>
      </w:pPr>
      <w:r>
        <w:rPr>
          <w:rFonts w:cstheme="minorHAnsi"/>
          <w:b/>
          <w:bCs/>
          <w:sz w:val="24"/>
          <w:szCs w:val="24"/>
        </w:rPr>
        <w:t>Diagnostic accuracy of the Coyote FlashDetect™ LyocartE MTB Assay in sputum samples</w:t>
      </w:r>
    </w:p>
    <w:p w14:paraId="6499DCBD" w14:textId="77777777" w:rsidR="00286D1B" w:rsidRDefault="004B1BBD">
      <w:pPr>
        <w:rPr>
          <w:rFonts w:cstheme="minorHAnsi"/>
          <w:sz w:val="20"/>
          <w:szCs w:val="20"/>
        </w:rPr>
      </w:pPr>
      <w:r>
        <w:rPr>
          <w:rFonts w:cstheme="minorHAnsi"/>
          <w:sz w:val="20"/>
          <w:szCs w:val="20"/>
        </w:rPr>
        <w:t>Robert Castro, University of California San Francisco</w:t>
      </w:r>
    </w:p>
    <w:p w14:paraId="7DB628D5" w14:textId="77777777" w:rsidR="00286D1B" w:rsidRDefault="004B1BBD">
      <w:pPr>
        <w:rPr>
          <w:rFonts w:eastAsia="Aptos" w:cstheme="minorHAnsi"/>
          <w:sz w:val="20"/>
        </w:rPr>
      </w:pPr>
      <w:r>
        <w:rPr>
          <w:rFonts w:eastAsia="Aptos" w:cstheme="minorHAnsi"/>
          <w:sz w:val="20"/>
        </w:rPr>
        <w:t xml:space="preserve">Email: </w:t>
      </w:r>
      <w:hyperlink r:id="rId23" w:history="1">
        <w:r>
          <w:rPr>
            <w:rStyle w:val="Hyperlink"/>
            <w:rFonts w:eastAsia="Aptos" w:cstheme="minorHAnsi"/>
            <w:sz w:val="20"/>
          </w:rPr>
          <w:t>Robert.Castro@ucsf.edu</w:t>
        </w:r>
      </w:hyperlink>
    </w:p>
    <w:p w14:paraId="50495BFA" w14:textId="77777777" w:rsidR="00286D1B" w:rsidRDefault="00286D1B">
      <w:pPr>
        <w:rPr>
          <w:rFonts w:cstheme="minorHAnsi"/>
          <w:sz w:val="20"/>
          <w:szCs w:val="20"/>
        </w:rPr>
      </w:pPr>
    </w:p>
    <w:p w14:paraId="295A758A" w14:textId="77777777" w:rsidR="00286D1B" w:rsidRDefault="004B1BBD">
      <w:pPr>
        <w:rPr>
          <w:rFonts w:cstheme="minorHAnsi"/>
          <w:sz w:val="20"/>
          <w:szCs w:val="20"/>
        </w:rPr>
      </w:pPr>
      <w:r>
        <w:rPr>
          <w:rFonts w:cstheme="minorHAnsi"/>
          <w:sz w:val="20"/>
          <w:szCs w:val="20"/>
        </w:rPr>
        <w:t>Castro, Robert</w:t>
      </w:r>
      <w:r>
        <w:rPr>
          <w:rFonts w:cs="Calibri (Body)"/>
          <w:sz w:val="18"/>
          <w:szCs w:val="18"/>
          <w:vertAlign w:val="superscript"/>
        </w:rPr>
        <w:t>1</w:t>
      </w:r>
      <w:r>
        <w:rPr>
          <w:rFonts w:cstheme="minorHAnsi"/>
          <w:sz w:val="20"/>
          <w:szCs w:val="20"/>
        </w:rPr>
        <w:t>; Costantini, Mariko</w:t>
      </w:r>
      <w:r>
        <w:rPr>
          <w:rFonts w:cs="Calibri (Body)"/>
          <w:sz w:val="18"/>
          <w:szCs w:val="18"/>
          <w:vertAlign w:val="superscript"/>
        </w:rPr>
        <w:t>1</w:t>
      </w:r>
      <w:r>
        <w:rPr>
          <w:rFonts w:cstheme="minorHAnsi"/>
          <w:sz w:val="20"/>
          <w:szCs w:val="20"/>
        </w:rPr>
        <w:t>; Gavin, Quinn</w:t>
      </w:r>
      <w:r>
        <w:rPr>
          <w:rFonts w:cs="Calibri (Body)"/>
          <w:sz w:val="18"/>
          <w:szCs w:val="18"/>
          <w:vertAlign w:val="superscript"/>
        </w:rPr>
        <w:t>1,2</w:t>
      </w:r>
      <w:r>
        <w:rPr>
          <w:rFonts w:cstheme="minorHAnsi"/>
          <w:sz w:val="20"/>
          <w:szCs w:val="20"/>
        </w:rPr>
        <w:t>; Kadota, Jillian</w:t>
      </w:r>
      <w:r>
        <w:rPr>
          <w:rFonts w:cs="Calibri (Body)"/>
          <w:sz w:val="18"/>
          <w:szCs w:val="18"/>
          <w:vertAlign w:val="superscript"/>
        </w:rPr>
        <w:t>1</w:t>
      </w:r>
      <w:r>
        <w:rPr>
          <w:rFonts w:cstheme="minorHAnsi"/>
          <w:sz w:val="20"/>
          <w:szCs w:val="20"/>
        </w:rPr>
        <w:t>; Mochizuki, Tessa</w:t>
      </w:r>
      <w:r>
        <w:rPr>
          <w:rFonts w:cs="Calibri (Body)"/>
          <w:sz w:val="18"/>
          <w:szCs w:val="18"/>
          <w:vertAlign w:val="superscript"/>
        </w:rPr>
        <w:t>1</w:t>
      </w:r>
      <w:r>
        <w:rPr>
          <w:rFonts w:cstheme="minorHAnsi"/>
          <w:sz w:val="20"/>
          <w:szCs w:val="20"/>
        </w:rPr>
        <w:t>; Moe, Caitlin</w:t>
      </w:r>
      <w:r>
        <w:rPr>
          <w:rFonts w:cs="Calibri (Body)"/>
          <w:sz w:val="18"/>
          <w:szCs w:val="18"/>
          <w:vertAlign w:val="superscript"/>
        </w:rPr>
        <w:t>1,2</w:t>
      </w:r>
      <w:r>
        <w:rPr>
          <w:rFonts w:cstheme="minorHAnsi"/>
          <w:sz w:val="20"/>
          <w:szCs w:val="20"/>
        </w:rPr>
        <w:t>; Narayanan, Naythra</w:t>
      </w:r>
      <w:r>
        <w:rPr>
          <w:rFonts w:cs="Calibri (Body)"/>
          <w:sz w:val="18"/>
          <w:szCs w:val="18"/>
          <w:vertAlign w:val="superscript"/>
        </w:rPr>
        <w:t>1</w:t>
      </w:r>
      <w:r>
        <w:rPr>
          <w:rFonts w:cstheme="minorHAnsi"/>
          <w:sz w:val="20"/>
          <w:szCs w:val="20"/>
        </w:rPr>
        <w:t>; Poore, Hayley</w:t>
      </w:r>
      <w:r>
        <w:rPr>
          <w:rFonts w:cs="Calibri (Body)"/>
          <w:sz w:val="18"/>
          <w:szCs w:val="18"/>
          <w:vertAlign w:val="superscript"/>
        </w:rPr>
        <w:t>1,2</w:t>
      </w:r>
      <w:r>
        <w:rPr>
          <w:rFonts w:cstheme="minorHAnsi"/>
          <w:sz w:val="20"/>
          <w:szCs w:val="20"/>
        </w:rPr>
        <w:t>; Taeed, Tara</w:t>
      </w:r>
      <w:r>
        <w:rPr>
          <w:rFonts w:cs="Calibri (Body)"/>
          <w:sz w:val="18"/>
          <w:szCs w:val="18"/>
          <w:vertAlign w:val="superscript"/>
        </w:rPr>
        <w:t>1</w:t>
      </w:r>
      <w:r>
        <w:rPr>
          <w:rFonts w:cstheme="minorHAnsi"/>
          <w:sz w:val="20"/>
          <w:szCs w:val="20"/>
        </w:rPr>
        <w:t>; Wang, Qiao</w:t>
      </w:r>
      <w:r>
        <w:rPr>
          <w:rFonts w:cs="Calibri (Body)"/>
          <w:sz w:val="18"/>
          <w:szCs w:val="18"/>
          <w:vertAlign w:val="superscript"/>
        </w:rPr>
        <w:t>1,2</w:t>
      </w:r>
      <w:r>
        <w:rPr>
          <w:rFonts w:cstheme="minorHAnsi"/>
          <w:sz w:val="20"/>
          <w:szCs w:val="20"/>
        </w:rPr>
        <w:t>; Worodria, William</w:t>
      </w:r>
      <w:r>
        <w:rPr>
          <w:rFonts w:cs="Calibri (Body)"/>
          <w:sz w:val="18"/>
          <w:szCs w:val="18"/>
          <w:vertAlign w:val="superscript"/>
        </w:rPr>
        <w:t>3</w:t>
      </w:r>
      <w:r>
        <w:rPr>
          <w:rFonts w:cstheme="minorHAnsi"/>
          <w:sz w:val="20"/>
          <w:szCs w:val="20"/>
        </w:rPr>
        <w:t>; Jaganath, Devan</w:t>
      </w:r>
      <w:r>
        <w:rPr>
          <w:rFonts w:cs="Calibri (Body)"/>
          <w:sz w:val="18"/>
          <w:szCs w:val="18"/>
          <w:vertAlign w:val="superscript"/>
        </w:rPr>
        <w:t>1</w:t>
      </w:r>
      <w:r>
        <w:rPr>
          <w:rFonts w:cstheme="minorHAnsi"/>
          <w:sz w:val="20"/>
          <w:szCs w:val="20"/>
        </w:rPr>
        <w:t>; Kerkhoff, Andrew</w:t>
      </w:r>
      <w:r>
        <w:rPr>
          <w:rFonts w:cs="Calibri (Body)"/>
          <w:sz w:val="18"/>
          <w:szCs w:val="18"/>
          <w:vertAlign w:val="superscript"/>
        </w:rPr>
        <w:t>1</w:t>
      </w:r>
      <w:r>
        <w:rPr>
          <w:rFonts w:cstheme="minorHAnsi"/>
          <w:sz w:val="20"/>
          <w:szCs w:val="20"/>
        </w:rPr>
        <w:t>; Kato-Maeda, Midori</w:t>
      </w:r>
      <w:r>
        <w:rPr>
          <w:rFonts w:cs="Calibri (Body)"/>
          <w:sz w:val="18"/>
          <w:szCs w:val="18"/>
          <w:vertAlign w:val="superscript"/>
        </w:rPr>
        <w:t>1</w:t>
      </w:r>
      <w:r>
        <w:rPr>
          <w:rFonts w:cstheme="minorHAnsi"/>
          <w:sz w:val="20"/>
          <w:szCs w:val="20"/>
        </w:rPr>
        <w:t>; Phillips, Patrick</w:t>
      </w:r>
      <w:r>
        <w:rPr>
          <w:rFonts w:cs="Calibri (Body)"/>
          <w:sz w:val="18"/>
          <w:szCs w:val="18"/>
          <w:vertAlign w:val="superscript"/>
        </w:rPr>
        <w:t>1</w:t>
      </w:r>
      <w:r>
        <w:rPr>
          <w:rFonts w:cstheme="minorHAnsi"/>
          <w:sz w:val="20"/>
          <w:szCs w:val="20"/>
        </w:rPr>
        <w:t>; Nahid, Payam</w:t>
      </w:r>
      <w:r>
        <w:rPr>
          <w:rFonts w:cs="Calibri (Body)"/>
          <w:sz w:val="18"/>
          <w:szCs w:val="18"/>
          <w:vertAlign w:val="superscript"/>
        </w:rPr>
        <w:t>1</w:t>
      </w:r>
      <w:r>
        <w:rPr>
          <w:rFonts w:cstheme="minorHAnsi"/>
          <w:sz w:val="20"/>
          <w:szCs w:val="20"/>
        </w:rPr>
        <w:t>; Denkinger, Claudia</w:t>
      </w:r>
      <w:r>
        <w:rPr>
          <w:rFonts w:cs="Calibri (Body)"/>
          <w:sz w:val="18"/>
          <w:szCs w:val="18"/>
          <w:vertAlign w:val="superscript"/>
        </w:rPr>
        <w:t>4</w:t>
      </w:r>
      <w:r>
        <w:rPr>
          <w:rFonts w:cstheme="minorHAnsi"/>
          <w:sz w:val="20"/>
          <w:szCs w:val="20"/>
        </w:rPr>
        <w:t>; Cattamanchi, Adithya</w:t>
      </w:r>
      <w:r>
        <w:rPr>
          <w:rFonts w:cs="Calibri (Body)"/>
          <w:sz w:val="18"/>
          <w:szCs w:val="18"/>
          <w:vertAlign w:val="superscript"/>
        </w:rPr>
        <w:t>1,2</w:t>
      </w:r>
    </w:p>
    <w:p w14:paraId="0E5C024E" w14:textId="77777777" w:rsidR="00086597" w:rsidRDefault="004B1BBD">
      <w:pPr>
        <w:spacing w:line="240" w:lineRule="auto"/>
        <w:contextualSpacing/>
        <w:rPr>
          <w:rFonts w:cstheme="minorHAnsi"/>
          <w:sz w:val="18"/>
          <w:szCs w:val="18"/>
        </w:rPr>
      </w:pPr>
      <w:r>
        <w:rPr>
          <w:rFonts w:cs="Calibri (Body)"/>
          <w:sz w:val="18"/>
          <w:szCs w:val="18"/>
          <w:vertAlign w:val="superscript"/>
        </w:rPr>
        <w:t>1</w:t>
      </w:r>
      <w:r>
        <w:rPr>
          <w:rFonts w:cstheme="minorHAnsi"/>
          <w:sz w:val="18"/>
          <w:szCs w:val="18"/>
        </w:rPr>
        <w:t xml:space="preserve"> University of California San Francisco, San Francisco, California</w:t>
      </w:r>
    </w:p>
    <w:p w14:paraId="7AD135A3" w14:textId="77777777" w:rsidR="00086597" w:rsidRDefault="004B1BBD">
      <w:pPr>
        <w:spacing w:line="240" w:lineRule="auto"/>
        <w:contextualSpacing/>
        <w:rPr>
          <w:rFonts w:cstheme="minorHAnsi"/>
          <w:sz w:val="18"/>
          <w:szCs w:val="18"/>
        </w:rPr>
      </w:pPr>
      <w:r>
        <w:rPr>
          <w:rFonts w:cs="Calibri (Body)"/>
          <w:sz w:val="18"/>
          <w:szCs w:val="18"/>
          <w:vertAlign w:val="superscript"/>
        </w:rPr>
        <w:t>2</w:t>
      </w:r>
      <w:r>
        <w:rPr>
          <w:rFonts w:cstheme="minorHAnsi"/>
          <w:sz w:val="18"/>
          <w:szCs w:val="18"/>
        </w:rPr>
        <w:t xml:space="preserve"> University of California Irvine, Irvine, California. </w:t>
      </w:r>
    </w:p>
    <w:p w14:paraId="47039D1C" w14:textId="77777777" w:rsidR="00086597" w:rsidRDefault="004B1BBD">
      <w:pPr>
        <w:spacing w:line="240" w:lineRule="auto"/>
        <w:contextualSpacing/>
        <w:rPr>
          <w:rFonts w:cstheme="minorHAnsi"/>
          <w:sz w:val="18"/>
          <w:szCs w:val="18"/>
        </w:rPr>
      </w:pPr>
      <w:r>
        <w:rPr>
          <w:rFonts w:cs="Calibri (Body)"/>
          <w:sz w:val="18"/>
          <w:szCs w:val="18"/>
          <w:vertAlign w:val="superscript"/>
        </w:rPr>
        <w:t>3</w:t>
      </w:r>
      <w:r>
        <w:rPr>
          <w:rFonts w:cstheme="minorHAnsi"/>
          <w:sz w:val="18"/>
          <w:szCs w:val="18"/>
        </w:rPr>
        <w:t xml:space="preserve"> Makerere University, Kampala, Uganda. </w:t>
      </w:r>
    </w:p>
    <w:p w14:paraId="70AF0E6A" w14:textId="77777777" w:rsidR="00286D1B" w:rsidRDefault="004B1BBD">
      <w:pPr>
        <w:spacing w:line="240" w:lineRule="auto"/>
        <w:contextualSpacing/>
        <w:rPr>
          <w:rFonts w:cstheme="minorHAnsi"/>
          <w:sz w:val="18"/>
          <w:szCs w:val="18"/>
        </w:rPr>
      </w:pPr>
      <w:r>
        <w:rPr>
          <w:rFonts w:cs="Calibri (Body)"/>
          <w:sz w:val="18"/>
          <w:szCs w:val="18"/>
          <w:vertAlign w:val="superscript"/>
        </w:rPr>
        <w:t>4</w:t>
      </w:r>
      <w:r>
        <w:rPr>
          <w:rFonts w:cstheme="minorHAnsi"/>
          <w:sz w:val="18"/>
          <w:szCs w:val="18"/>
        </w:rPr>
        <w:t xml:space="preserve"> University Hospital of Heidelberg, Heidelberg, Germany.</w:t>
      </w:r>
    </w:p>
    <w:p w14:paraId="06C8F125" w14:textId="77777777" w:rsidR="00286D1B" w:rsidRDefault="00286D1B">
      <w:pPr>
        <w:rPr>
          <w:rFonts w:cstheme="minorHAnsi"/>
          <w:sz w:val="20"/>
          <w:szCs w:val="20"/>
        </w:rPr>
      </w:pPr>
    </w:p>
    <w:p w14:paraId="65D7DCD9" w14:textId="77777777" w:rsidR="00967449" w:rsidRDefault="004B1BBD">
      <w:pPr>
        <w:rPr>
          <w:rFonts w:cstheme="minorHAnsi"/>
          <w:sz w:val="20"/>
          <w:szCs w:val="20"/>
        </w:rPr>
      </w:pPr>
      <w:r>
        <w:rPr>
          <w:rFonts w:cstheme="minorHAnsi"/>
          <w:b/>
          <w:bCs/>
          <w:sz w:val="20"/>
          <w:szCs w:val="20"/>
        </w:rPr>
        <w:t>Background:</w:t>
      </w:r>
      <w:r>
        <w:rPr>
          <w:rFonts w:cstheme="minorHAnsi"/>
          <w:sz w:val="20"/>
          <w:szCs w:val="20"/>
        </w:rPr>
        <w:t xml:space="preserve"> Near point-of-care nucleic acid amplification tests (nPOC-NAATs) were recently endorsed by the World Health Organization (WHO) as a new class of molecular tests for pulmonary tuberculosis (TB). We evaluated the diagnostic accuracy of the FlashDetect™ LyocartE MTB Assay (FlashDetect MTB, Coyote Bioscience, China), a novel nPOC-NAAT that can test sputum or tongue swab samples, in comparison to WHO target product profile (TPP) accuracy targets for sputum samples. </w:t>
      </w:r>
    </w:p>
    <w:p w14:paraId="25406AD1" w14:textId="77777777" w:rsidR="00967449" w:rsidRDefault="004B1BBD">
      <w:pPr>
        <w:rPr>
          <w:rFonts w:cstheme="minorHAnsi"/>
          <w:sz w:val="20"/>
          <w:szCs w:val="20"/>
        </w:rPr>
      </w:pPr>
      <w:r>
        <w:rPr>
          <w:rFonts w:cstheme="minorHAnsi"/>
          <w:b/>
          <w:bCs/>
          <w:sz w:val="20"/>
          <w:szCs w:val="20"/>
        </w:rPr>
        <w:t>Methods:</w:t>
      </w:r>
      <w:r>
        <w:rPr>
          <w:rFonts w:cstheme="minorHAnsi"/>
          <w:sz w:val="20"/>
          <w:szCs w:val="20"/>
        </w:rPr>
        <w:t xml:space="preserve"> From May–August 2025, we enrolled consecutive people (≥12 years) with presumed TB at two outpatient clinics in Kampala, Uganda. Sputum samples were collected from each participant and tested with FlashDetect MTB. Sensitivity and specificity were assessed in reference to MGIT culture, excluding participants with non-actionable index test or indeterminate reference standard results, and compared to sputum Xpert MTB/RIF Ultra and smear microscopy. </w:t>
      </w:r>
    </w:p>
    <w:p w14:paraId="334EA2AD" w14:textId="77777777" w:rsidR="00967449" w:rsidRDefault="004B1BBD">
      <w:pPr>
        <w:rPr>
          <w:rFonts w:cstheme="minorHAnsi"/>
          <w:sz w:val="20"/>
          <w:szCs w:val="20"/>
        </w:rPr>
      </w:pPr>
      <w:r>
        <w:rPr>
          <w:rFonts w:cstheme="minorHAnsi"/>
          <w:b/>
          <w:bCs/>
          <w:sz w:val="20"/>
          <w:szCs w:val="20"/>
        </w:rPr>
        <w:t>Results:</w:t>
      </w:r>
      <w:r>
        <w:rPr>
          <w:rFonts w:cstheme="minorHAnsi"/>
          <w:sz w:val="20"/>
          <w:szCs w:val="20"/>
        </w:rPr>
        <w:t xml:space="preserve"> Among 150 participants, the median age was 32 years (IQR 24-44), 78 (52%) were female, 38 (25%) were living with HIV, 36 (24%) had diabetes, and 43 (29%) had culture-confirmed TB. FlashDetect MTB produced no non-actionable results with sputum. Sputum FlashDetect MTB sensitivity was 92.9% (95% CI, 80.5–98.5) and specificity was 96.6% (95% CI, 90.5–99.3). Compared to Xpert Ultra, sputum FlashDetect MTB sensitivity (difference 2.4%, 95% CI - 4.6 to +9.4) and specificity (difference -3.4%, 95% CI -8.2 to +1.5) were similar. Compared to sputum smear microscopy, sputum FlashDetect MTB sensitivity (difference 9.5%, 95% CI -1.7 to +20.8) and specificity (difference -3.4%, 95% CI -8.2 to +1.5) were not significantly different. </w:t>
      </w:r>
    </w:p>
    <w:p w14:paraId="6AC39D03" w14:textId="77777777" w:rsidR="00286D1B" w:rsidRDefault="004B1BBD">
      <w:pPr>
        <w:rPr>
          <w:rFonts w:cstheme="minorHAnsi"/>
          <w:sz w:val="20"/>
          <w:szCs w:val="20"/>
        </w:rPr>
      </w:pPr>
      <w:r>
        <w:rPr>
          <w:rFonts w:cstheme="minorHAnsi"/>
          <w:b/>
          <w:bCs/>
          <w:sz w:val="20"/>
          <w:szCs w:val="20"/>
        </w:rPr>
        <w:t>Conclusions:</w:t>
      </w:r>
      <w:r>
        <w:rPr>
          <w:rFonts w:cstheme="minorHAnsi"/>
          <w:sz w:val="20"/>
          <w:szCs w:val="20"/>
        </w:rPr>
        <w:t xml:space="preserve"> The FlashDetect MTB assay approached WHO TPP thresholds for a nPOC sputum diagnostic test. These findings support its potential use as a diagnostic tool, with further validation in larger and diverse settings warranted.</w:t>
      </w:r>
    </w:p>
    <w:p w14:paraId="6D6B77F2" w14:textId="77777777" w:rsidR="00691E24" w:rsidRDefault="00691E24">
      <w:pPr>
        <w:rPr>
          <w:rFonts w:eastAsia="Times New Roman"/>
          <w:color w:val="000000" w:themeColor="text1"/>
          <w:sz w:val="24"/>
          <w:szCs w:val="24"/>
        </w:rPr>
      </w:pPr>
      <w:r>
        <w:rPr>
          <w:rFonts w:eastAsia="Times New Roman"/>
        </w:rPr>
        <w:br w:type="page"/>
      </w:r>
    </w:p>
    <w:p w14:paraId="4EE5626B" w14:textId="77777777" w:rsidR="00286D1B" w:rsidRDefault="004B1BBD">
      <w:pPr>
        <w:pStyle w:val="Heading2"/>
        <w:rPr>
          <w:rFonts w:asciiTheme="minorHAnsi" w:eastAsia="Times New Roman" w:hAnsiTheme="minorHAnsi" w:cstheme="minorBidi"/>
        </w:rPr>
      </w:pPr>
      <w:bookmarkStart w:id="18" w:name="_Toc238729446"/>
      <w:r>
        <w:rPr>
          <w:rFonts w:asciiTheme="minorHAnsi" w:eastAsia="Times New Roman" w:hAnsiTheme="minorHAnsi" w:cstheme="minorBidi"/>
        </w:rPr>
        <w:lastRenderedPageBreak/>
        <w:t>PP-05: Mariko Costantini, UCSF</w:t>
      </w:r>
      <w:bookmarkEnd w:id="18"/>
    </w:p>
    <w:p w14:paraId="50FD851A" w14:textId="77777777" w:rsidR="00286D1B" w:rsidRDefault="00286D1B">
      <w:pPr>
        <w:rPr>
          <w:rFonts w:cstheme="minorHAnsi"/>
          <w:sz w:val="20"/>
          <w:szCs w:val="20"/>
        </w:rPr>
      </w:pPr>
    </w:p>
    <w:p w14:paraId="28E8154E" w14:textId="77777777" w:rsidR="00286D1B" w:rsidRDefault="004B1BBD">
      <w:pPr>
        <w:rPr>
          <w:rFonts w:cstheme="minorHAnsi"/>
          <w:sz w:val="24"/>
          <w:szCs w:val="24"/>
        </w:rPr>
      </w:pPr>
      <w:r>
        <w:rPr>
          <w:rFonts w:cstheme="minorHAnsi"/>
          <w:b/>
          <w:bCs/>
          <w:sz w:val="24"/>
          <w:szCs w:val="24"/>
        </w:rPr>
        <w:t>Diagnostic equivalence of single- and multi-channel near-point-of-care platforms for the MiniDock® MTB Test: a multicentre paired study in Uganda and the Philippines</w:t>
      </w:r>
    </w:p>
    <w:p w14:paraId="6A862986" w14:textId="77777777" w:rsidR="00286D1B" w:rsidRDefault="004B1BBD">
      <w:pPr>
        <w:rPr>
          <w:rFonts w:cstheme="minorHAnsi"/>
          <w:sz w:val="20"/>
          <w:szCs w:val="20"/>
        </w:rPr>
      </w:pPr>
      <w:r>
        <w:rPr>
          <w:rFonts w:cstheme="minorHAnsi"/>
          <w:sz w:val="20"/>
          <w:szCs w:val="20"/>
        </w:rPr>
        <w:t>Mariko Costantini, UCSF</w:t>
      </w:r>
    </w:p>
    <w:p w14:paraId="37F3F1DE" w14:textId="77777777" w:rsidR="00286D1B" w:rsidRDefault="004B1BBD">
      <w:pPr>
        <w:rPr>
          <w:rFonts w:eastAsia="Aptos" w:cstheme="minorHAnsi"/>
          <w:sz w:val="20"/>
        </w:rPr>
      </w:pPr>
      <w:r>
        <w:rPr>
          <w:rFonts w:eastAsia="Aptos" w:cstheme="minorHAnsi"/>
          <w:sz w:val="20"/>
        </w:rPr>
        <w:t xml:space="preserve">Email: </w:t>
      </w:r>
      <w:hyperlink r:id="rId24" w:history="1">
        <w:r>
          <w:rPr>
            <w:rStyle w:val="Hyperlink"/>
            <w:rFonts w:eastAsia="Aptos" w:cstheme="minorHAnsi"/>
            <w:sz w:val="20"/>
          </w:rPr>
          <w:t>mariko.costantini@ucsf.edu</w:t>
        </w:r>
      </w:hyperlink>
    </w:p>
    <w:p w14:paraId="2492929D" w14:textId="77777777" w:rsidR="00286D1B" w:rsidRDefault="00286D1B">
      <w:pPr>
        <w:rPr>
          <w:rFonts w:cstheme="minorHAnsi"/>
          <w:sz w:val="20"/>
          <w:szCs w:val="20"/>
        </w:rPr>
      </w:pPr>
    </w:p>
    <w:p w14:paraId="260F5705" w14:textId="77777777" w:rsidR="00286D1B" w:rsidRDefault="004B1BBD">
      <w:pPr>
        <w:rPr>
          <w:rFonts w:cstheme="minorHAnsi"/>
          <w:sz w:val="20"/>
          <w:szCs w:val="20"/>
        </w:rPr>
      </w:pPr>
      <w:r>
        <w:rPr>
          <w:rFonts w:cstheme="minorHAnsi"/>
          <w:sz w:val="20"/>
          <w:szCs w:val="20"/>
        </w:rPr>
        <w:t>Mariko Costantini</w:t>
      </w:r>
      <w:r>
        <w:rPr>
          <w:rFonts w:cs="Calibri (Body)"/>
          <w:sz w:val="18"/>
          <w:szCs w:val="18"/>
          <w:vertAlign w:val="superscript"/>
        </w:rPr>
        <w:t>1</w:t>
      </w:r>
      <w:r>
        <w:rPr>
          <w:rFonts w:cstheme="minorHAnsi"/>
          <w:sz w:val="20"/>
          <w:szCs w:val="20"/>
        </w:rPr>
        <w:t>; Tessa Mochizuki</w:t>
      </w:r>
      <w:r>
        <w:rPr>
          <w:rFonts w:cs="Calibri (Body)"/>
          <w:sz w:val="18"/>
          <w:szCs w:val="18"/>
          <w:vertAlign w:val="superscript"/>
        </w:rPr>
        <w:t>1</w:t>
      </w:r>
      <w:r>
        <w:rPr>
          <w:rFonts w:cstheme="minorHAnsi"/>
          <w:sz w:val="20"/>
          <w:szCs w:val="20"/>
        </w:rPr>
        <w:t>; Robert Castro</w:t>
      </w:r>
      <w:r>
        <w:rPr>
          <w:rFonts w:cs="Calibri (Body)"/>
          <w:sz w:val="18"/>
          <w:szCs w:val="18"/>
          <w:vertAlign w:val="superscript"/>
        </w:rPr>
        <w:t>1</w:t>
      </w:r>
      <w:r>
        <w:rPr>
          <w:rFonts w:cstheme="minorHAnsi"/>
          <w:sz w:val="20"/>
          <w:szCs w:val="20"/>
        </w:rPr>
        <w:t>; Quinn Gavin</w:t>
      </w:r>
      <w:r>
        <w:rPr>
          <w:rFonts w:cs="Calibri (Body)"/>
          <w:sz w:val="18"/>
          <w:szCs w:val="18"/>
          <w:vertAlign w:val="superscript"/>
        </w:rPr>
        <w:t>1,5</w:t>
      </w:r>
      <w:r>
        <w:rPr>
          <w:rFonts w:cstheme="minorHAnsi"/>
          <w:sz w:val="20"/>
          <w:szCs w:val="20"/>
        </w:rPr>
        <w:t>; Jillian Kadota</w:t>
      </w:r>
      <w:r>
        <w:rPr>
          <w:rFonts w:cs="Calibri (Body)"/>
          <w:sz w:val="18"/>
          <w:szCs w:val="18"/>
          <w:vertAlign w:val="superscript"/>
        </w:rPr>
        <w:t>1</w:t>
      </w:r>
      <w:r>
        <w:rPr>
          <w:rFonts w:cstheme="minorHAnsi"/>
          <w:sz w:val="20"/>
          <w:szCs w:val="20"/>
        </w:rPr>
        <w:t>; Caitlin Moe</w:t>
      </w:r>
      <w:r>
        <w:rPr>
          <w:rFonts w:cs="Calibri (Body)"/>
          <w:sz w:val="18"/>
          <w:szCs w:val="18"/>
          <w:vertAlign w:val="superscript"/>
        </w:rPr>
        <w:t>1,5</w:t>
      </w:r>
      <w:r>
        <w:rPr>
          <w:rFonts w:cstheme="minorHAnsi"/>
          <w:sz w:val="20"/>
          <w:szCs w:val="20"/>
        </w:rPr>
        <w:t>; Hayley Poore</w:t>
      </w:r>
      <w:r>
        <w:rPr>
          <w:rFonts w:cs="Calibri (Body)"/>
          <w:sz w:val="18"/>
          <w:szCs w:val="18"/>
          <w:vertAlign w:val="superscript"/>
        </w:rPr>
        <w:t>1,5</w:t>
      </w:r>
      <w:r>
        <w:rPr>
          <w:rFonts w:cstheme="minorHAnsi"/>
          <w:sz w:val="20"/>
          <w:szCs w:val="20"/>
        </w:rPr>
        <w:t>; Tara Taeed</w:t>
      </w:r>
      <w:r>
        <w:rPr>
          <w:rFonts w:cs="Calibri (Body)"/>
          <w:sz w:val="18"/>
          <w:szCs w:val="18"/>
          <w:vertAlign w:val="superscript"/>
        </w:rPr>
        <w:t>1</w:t>
      </w:r>
      <w:r>
        <w:rPr>
          <w:rFonts w:cstheme="minorHAnsi"/>
          <w:sz w:val="20"/>
          <w:szCs w:val="20"/>
        </w:rPr>
        <w:t>; Qiao Wang</w:t>
      </w:r>
      <w:r>
        <w:rPr>
          <w:rFonts w:cs="Calibri (Body)"/>
          <w:sz w:val="18"/>
          <w:szCs w:val="18"/>
          <w:vertAlign w:val="superscript"/>
        </w:rPr>
        <w:t>1,5</w:t>
      </w:r>
      <w:r>
        <w:rPr>
          <w:rFonts w:cstheme="minorHAnsi"/>
          <w:sz w:val="20"/>
          <w:szCs w:val="20"/>
        </w:rPr>
        <w:t>; Maria Golla</w:t>
      </w:r>
      <w:r>
        <w:rPr>
          <w:rFonts w:cs="Calibri (Body)"/>
          <w:sz w:val="18"/>
          <w:szCs w:val="18"/>
          <w:vertAlign w:val="superscript"/>
        </w:rPr>
        <w:t>2</w:t>
      </w:r>
      <w:r>
        <w:rPr>
          <w:rFonts w:cstheme="minorHAnsi"/>
          <w:sz w:val="20"/>
          <w:szCs w:val="20"/>
        </w:rPr>
        <w:t>; Rashidah Nalubega</w:t>
      </w:r>
      <w:r>
        <w:rPr>
          <w:rFonts w:cs="Calibri (Body)"/>
          <w:sz w:val="18"/>
          <w:szCs w:val="18"/>
          <w:vertAlign w:val="superscript"/>
        </w:rPr>
        <w:t>3</w:t>
      </w:r>
      <w:r>
        <w:rPr>
          <w:rFonts w:cstheme="minorHAnsi"/>
          <w:sz w:val="20"/>
          <w:szCs w:val="20"/>
        </w:rPr>
        <w:t>; Seda Yerlikaya</w:t>
      </w:r>
      <w:r>
        <w:rPr>
          <w:rFonts w:cs="Calibri (Body)"/>
          <w:sz w:val="18"/>
          <w:szCs w:val="18"/>
          <w:vertAlign w:val="superscript"/>
        </w:rPr>
        <w:t>4</w:t>
      </w:r>
      <w:r>
        <w:rPr>
          <w:rFonts w:cstheme="minorHAnsi"/>
          <w:sz w:val="20"/>
          <w:szCs w:val="20"/>
        </w:rPr>
        <w:t>; William Worodria</w:t>
      </w:r>
      <w:r>
        <w:rPr>
          <w:rFonts w:cs="Calibri (Body)"/>
          <w:sz w:val="18"/>
          <w:szCs w:val="18"/>
          <w:vertAlign w:val="superscript"/>
        </w:rPr>
        <w:t>3</w:t>
      </w:r>
      <w:r>
        <w:rPr>
          <w:rFonts w:cstheme="minorHAnsi"/>
          <w:sz w:val="20"/>
          <w:szCs w:val="20"/>
        </w:rPr>
        <w:t>; Charles Yu</w:t>
      </w:r>
      <w:r>
        <w:rPr>
          <w:rFonts w:cs="Calibri (Body)"/>
          <w:sz w:val="18"/>
          <w:szCs w:val="18"/>
          <w:vertAlign w:val="superscript"/>
        </w:rPr>
        <w:t>2</w:t>
      </w:r>
      <w:r>
        <w:rPr>
          <w:rFonts w:cstheme="minorHAnsi"/>
          <w:sz w:val="20"/>
          <w:szCs w:val="20"/>
        </w:rPr>
        <w:t>; Devan Jaganath</w:t>
      </w:r>
      <w:r>
        <w:rPr>
          <w:rFonts w:cs="Calibri (Body)"/>
          <w:sz w:val="18"/>
          <w:szCs w:val="18"/>
          <w:vertAlign w:val="superscript"/>
        </w:rPr>
        <w:t>1</w:t>
      </w:r>
      <w:r>
        <w:rPr>
          <w:rFonts w:cstheme="minorHAnsi"/>
          <w:sz w:val="20"/>
          <w:szCs w:val="20"/>
        </w:rPr>
        <w:t>; Andrew Kerkhoff</w:t>
      </w:r>
      <w:r>
        <w:rPr>
          <w:rFonts w:cs="Calibri (Body)"/>
          <w:sz w:val="18"/>
          <w:szCs w:val="18"/>
          <w:vertAlign w:val="superscript"/>
        </w:rPr>
        <w:t>1</w:t>
      </w:r>
      <w:r>
        <w:rPr>
          <w:rFonts w:cstheme="minorHAnsi"/>
          <w:sz w:val="20"/>
          <w:szCs w:val="20"/>
        </w:rPr>
        <w:t>; Midori Kato-Maeda</w:t>
      </w:r>
      <w:r>
        <w:rPr>
          <w:rFonts w:cs="Calibri (Body)"/>
          <w:sz w:val="18"/>
          <w:szCs w:val="18"/>
          <w:vertAlign w:val="superscript"/>
        </w:rPr>
        <w:t>1</w:t>
      </w:r>
      <w:r>
        <w:rPr>
          <w:rFonts w:cstheme="minorHAnsi"/>
          <w:sz w:val="20"/>
          <w:szCs w:val="20"/>
        </w:rPr>
        <w:t>; Patrick Phillips</w:t>
      </w:r>
      <w:r>
        <w:rPr>
          <w:rFonts w:cs="Calibri (Body)"/>
          <w:sz w:val="18"/>
          <w:szCs w:val="18"/>
          <w:vertAlign w:val="superscript"/>
        </w:rPr>
        <w:t>1</w:t>
      </w:r>
      <w:r>
        <w:rPr>
          <w:rFonts w:cstheme="minorHAnsi"/>
          <w:sz w:val="20"/>
          <w:szCs w:val="20"/>
        </w:rPr>
        <w:t>; Payam Nahid</w:t>
      </w:r>
      <w:r>
        <w:rPr>
          <w:rFonts w:cs="Calibri (Body)"/>
          <w:sz w:val="18"/>
          <w:szCs w:val="18"/>
          <w:vertAlign w:val="superscript"/>
        </w:rPr>
        <w:t>1</w:t>
      </w:r>
      <w:r>
        <w:rPr>
          <w:rFonts w:cstheme="minorHAnsi"/>
          <w:sz w:val="20"/>
          <w:szCs w:val="20"/>
        </w:rPr>
        <w:t>; Claudia Denkinger</w:t>
      </w:r>
      <w:r>
        <w:rPr>
          <w:rFonts w:cs="Calibri (Body)"/>
          <w:sz w:val="18"/>
          <w:szCs w:val="18"/>
          <w:vertAlign w:val="superscript"/>
        </w:rPr>
        <w:t>4</w:t>
      </w:r>
      <w:r>
        <w:rPr>
          <w:rFonts w:cstheme="minorHAnsi"/>
          <w:sz w:val="20"/>
          <w:szCs w:val="20"/>
        </w:rPr>
        <w:t>; Adithya Cattamanchi</w:t>
      </w:r>
      <w:r>
        <w:rPr>
          <w:rFonts w:cs="Calibri (Body)"/>
          <w:sz w:val="18"/>
          <w:szCs w:val="18"/>
          <w:vertAlign w:val="superscript"/>
        </w:rPr>
        <w:t>1,5</w:t>
      </w:r>
    </w:p>
    <w:p w14:paraId="358A2752" w14:textId="77777777" w:rsidR="00CA5D7B" w:rsidRDefault="00CA5D7B">
      <w:pPr>
        <w:spacing w:line="240" w:lineRule="auto"/>
        <w:contextualSpacing/>
        <w:rPr>
          <w:rFonts w:cstheme="minorHAnsi"/>
          <w:sz w:val="18"/>
          <w:szCs w:val="18"/>
        </w:rPr>
      </w:pPr>
      <w:r>
        <w:rPr>
          <w:rFonts w:cs="Calibri (Body)"/>
          <w:sz w:val="18"/>
          <w:szCs w:val="18"/>
          <w:vertAlign w:val="superscript"/>
        </w:rPr>
        <w:t xml:space="preserve">1 </w:t>
      </w:r>
      <w:r>
        <w:rPr>
          <w:rFonts w:cstheme="minorHAnsi"/>
          <w:sz w:val="18"/>
          <w:szCs w:val="18"/>
        </w:rPr>
        <w:t xml:space="preserve">University of California San Francisco, San Francisco, USA. </w:t>
      </w:r>
    </w:p>
    <w:p w14:paraId="101339BA" w14:textId="77777777" w:rsidR="00CA5D7B" w:rsidRDefault="00CA5D7B">
      <w:pPr>
        <w:spacing w:line="240" w:lineRule="auto"/>
        <w:contextualSpacing/>
        <w:rPr>
          <w:rFonts w:cstheme="minorHAnsi"/>
          <w:sz w:val="18"/>
          <w:szCs w:val="18"/>
        </w:rPr>
      </w:pPr>
      <w:r>
        <w:rPr>
          <w:rFonts w:cs="Calibri (Body)"/>
          <w:sz w:val="18"/>
          <w:szCs w:val="18"/>
          <w:vertAlign w:val="superscript"/>
        </w:rPr>
        <w:t>2</w:t>
      </w:r>
      <w:r>
        <w:rPr>
          <w:rFonts w:cstheme="minorHAnsi"/>
          <w:sz w:val="18"/>
          <w:szCs w:val="18"/>
        </w:rPr>
        <w:t xml:space="preserve"> De La Salle Medical and Health Sciences Institute, Dasmariñas, Philippines.</w:t>
      </w:r>
    </w:p>
    <w:p w14:paraId="4C9A4C3E" w14:textId="77777777" w:rsidR="00CA5D7B" w:rsidRDefault="00CA5D7B">
      <w:pPr>
        <w:spacing w:line="240" w:lineRule="auto"/>
        <w:contextualSpacing/>
        <w:rPr>
          <w:rFonts w:cstheme="minorHAnsi"/>
          <w:sz w:val="18"/>
          <w:szCs w:val="18"/>
        </w:rPr>
      </w:pPr>
      <w:r>
        <w:rPr>
          <w:rFonts w:cs="Calibri (Body)"/>
          <w:sz w:val="18"/>
          <w:szCs w:val="18"/>
          <w:vertAlign w:val="superscript"/>
        </w:rPr>
        <w:t>3</w:t>
      </w:r>
      <w:r>
        <w:rPr>
          <w:rFonts w:cstheme="minorHAnsi"/>
          <w:sz w:val="18"/>
          <w:szCs w:val="18"/>
        </w:rPr>
        <w:t xml:space="preserve"> Makerere University, Kampala, Uganda. </w:t>
      </w:r>
    </w:p>
    <w:p w14:paraId="566BBECA" w14:textId="77777777" w:rsidR="00CA5D7B" w:rsidRDefault="00CA5D7B">
      <w:pPr>
        <w:spacing w:line="240" w:lineRule="auto"/>
        <w:contextualSpacing/>
        <w:rPr>
          <w:rFonts w:cstheme="minorHAnsi"/>
          <w:sz w:val="18"/>
          <w:szCs w:val="18"/>
        </w:rPr>
      </w:pPr>
      <w:r>
        <w:rPr>
          <w:rFonts w:cs="Calibri (Body)"/>
          <w:sz w:val="18"/>
          <w:szCs w:val="18"/>
          <w:vertAlign w:val="superscript"/>
        </w:rPr>
        <w:t>4</w:t>
      </w:r>
      <w:r>
        <w:rPr>
          <w:rFonts w:cstheme="minorHAnsi"/>
          <w:sz w:val="18"/>
          <w:szCs w:val="18"/>
        </w:rPr>
        <w:t xml:space="preserve"> University Hospital of Heidelberg, Heidelberg, Germany. </w:t>
      </w:r>
    </w:p>
    <w:p w14:paraId="7E83242B" w14:textId="77777777" w:rsidR="00286D1B" w:rsidRDefault="00CA5D7B">
      <w:pPr>
        <w:spacing w:line="240" w:lineRule="auto"/>
        <w:contextualSpacing/>
        <w:rPr>
          <w:rFonts w:cstheme="minorHAnsi"/>
          <w:sz w:val="18"/>
          <w:szCs w:val="18"/>
        </w:rPr>
      </w:pPr>
      <w:r>
        <w:rPr>
          <w:rFonts w:cs="Calibri (Body)"/>
          <w:sz w:val="18"/>
          <w:szCs w:val="18"/>
          <w:vertAlign w:val="superscript"/>
        </w:rPr>
        <w:t>5</w:t>
      </w:r>
      <w:r>
        <w:rPr>
          <w:rFonts w:cstheme="minorHAnsi"/>
          <w:sz w:val="18"/>
          <w:szCs w:val="18"/>
        </w:rPr>
        <w:t xml:space="preserve"> University of California Irvine, Irvine, USA.</w:t>
      </w:r>
    </w:p>
    <w:p w14:paraId="080F8F31" w14:textId="77777777" w:rsidR="00286D1B" w:rsidRDefault="00286D1B">
      <w:pPr>
        <w:rPr>
          <w:rFonts w:cstheme="minorHAnsi"/>
          <w:sz w:val="20"/>
          <w:szCs w:val="20"/>
        </w:rPr>
      </w:pPr>
    </w:p>
    <w:p w14:paraId="57F51128" w14:textId="77777777" w:rsidR="00286D1B" w:rsidRDefault="004B1BBD">
      <w:pPr>
        <w:rPr>
          <w:rFonts w:cstheme="minorHAnsi"/>
          <w:sz w:val="20"/>
          <w:szCs w:val="20"/>
        </w:rPr>
      </w:pPr>
      <w:r>
        <w:rPr>
          <w:rFonts w:cstheme="minorHAnsi"/>
          <w:sz w:val="20"/>
          <w:szCs w:val="20"/>
        </w:rPr>
        <w:t>Limited access to scalable molecular testing continues to delay tuberculosis (TB) diagnosis. Near-point-of-care nucleic acid amplification tests (nPOC-NAATs) were recently recommended by the World Health Organization. The MiniDock MTB Test is a nPOC-NAAT that can be performed on sputum or tongue swab samples using the MiniDock Ultra (single-sample) platform. The manufacturer introduced a Dock Pro 8 (eight-sample) platform to improve throughput and operational efficiency. We conducted the first evaluation of diagnostic equivalence between these platforms.</w:t>
      </w:r>
    </w:p>
    <w:p w14:paraId="6FA01ADF" w14:textId="77777777" w:rsidR="00286D1B" w:rsidRDefault="004B1BBD">
      <w:pPr>
        <w:rPr>
          <w:rFonts w:cstheme="minorHAnsi"/>
          <w:sz w:val="20"/>
          <w:szCs w:val="20"/>
        </w:rPr>
      </w:pPr>
      <w:r>
        <w:rPr>
          <w:rFonts w:cstheme="minorHAnsi"/>
          <w:sz w:val="20"/>
          <w:szCs w:val="20"/>
        </w:rPr>
        <w:t>From May–August 2025, we enrolled consecutive individuals aged 12 years and older with presumed TB at health centres in Uganda and the Philippines. Tongue swab and sputum samples were collected, and paired testing was performed on both platforms. The reference standard was MGIT culture. Agreement was assessed using Cohen's kappa. Equivalence was evaluated using McNemar's exact test, comparing discordant paired proportions, with a pre-specified equivalence margin of 5%. Among 313 participants, median age was 39 years (IQR 27–52), 175 (56%) were female, 39 (12%) were living with HIV, 69 (22%) had diabetes, and 69 (22%) had culture-confirmed TB. For sputum samples, sensitivity was 78.3% (95% CI: 66.7–87.3) with MiniDock Ultra and 79.7% (95% CI: 68.3–88.4) with Dock Pro 8 (difference=1.4%, 95% CI: -4.9 to 7.8). Specificity was 98.6% (95% CI: 95.8–99.7) and 98.1% (95% CI: 95.1–99.5), respectively (difference=-0.5%, 95% CI: -1.9 to 0.9). For tongue swabs, both platforms demonstrated identical sensitivity (69.6%) and specificity (100%). Agreement was high (κ ≥0.96), with discordance (≤1.6%) within the equivalence margin.</w:t>
      </w:r>
    </w:p>
    <w:p w14:paraId="6C33DA11" w14:textId="77777777" w:rsidR="00286D1B" w:rsidRDefault="004B1BBD">
      <w:pPr>
        <w:rPr>
          <w:rFonts w:cstheme="minorHAnsi"/>
          <w:sz w:val="20"/>
          <w:szCs w:val="20"/>
        </w:rPr>
      </w:pPr>
      <w:r>
        <w:rPr>
          <w:rFonts w:cstheme="minorHAnsi"/>
          <w:sz w:val="20"/>
          <w:szCs w:val="20"/>
        </w:rPr>
        <w:t>These findings indicate that MiniDock Ultra and Dock Pro 8 demonstrated equivalent diagnostic performance. High agreement and low discordance support platform interchangeability and flexible deployment. Higher-throughput testing with the eight-channel platform may expand access in high-volume settings.</w:t>
      </w:r>
    </w:p>
    <w:p w14:paraId="1C419E29" w14:textId="77777777" w:rsidR="00691E24" w:rsidRDefault="00691E24">
      <w:pPr>
        <w:rPr>
          <w:rFonts w:eastAsia="Times New Roman"/>
          <w:color w:val="000000" w:themeColor="text1"/>
          <w:sz w:val="24"/>
          <w:szCs w:val="24"/>
        </w:rPr>
      </w:pPr>
      <w:r>
        <w:rPr>
          <w:rFonts w:eastAsia="Times New Roman"/>
        </w:rPr>
        <w:br w:type="page"/>
      </w:r>
    </w:p>
    <w:p w14:paraId="1C5D5899" w14:textId="77777777" w:rsidR="00286D1B" w:rsidRDefault="004B1BBD">
      <w:pPr>
        <w:pStyle w:val="Heading2"/>
        <w:rPr>
          <w:rFonts w:asciiTheme="minorHAnsi" w:eastAsia="Times New Roman" w:hAnsiTheme="minorHAnsi" w:cstheme="minorBidi"/>
        </w:rPr>
      </w:pPr>
      <w:bookmarkStart w:id="19" w:name="_Toc238729447"/>
      <w:r>
        <w:rPr>
          <w:rFonts w:asciiTheme="minorHAnsi" w:eastAsia="Times New Roman" w:hAnsiTheme="minorHAnsi" w:cstheme="minorBidi"/>
        </w:rPr>
        <w:lastRenderedPageBreak/>
        <w:t>PP-06: Fatoumatta Darboe, UCSF</w:t>
      </w:r>
      <w:bookmarkEnd w:id="19"/>
    </w:p>
    <w:p w14:paraId="441CA6EB" w14:textId="77777777" w:rsidR="00286D1B" w:rsidRDefault="00286D1B">
      <w:pPr>
        <w:rPr>
          <w:rFonts w:cstheme="minorHAnsi"/>
          <w:sz w:val="20"/>
          <w:szCs w:val="20"/>
        </w:rPr>
      </w:pPr>
    </w:p>
    <w:p w14:paraId="1A3C6E33" w14:textId="77777777" w:rsidR="00286D1B" w:rsidRDefault="004B1BBD">
      <w:pPr>
        <w:rPr>
          <w:rFonts w:cstheme="minorHAnsi"/>
          <w:sz w:val="24"/>
          <w:szCs w:val="24"/>
        </w:rPr>
      </w:pPr>
      <w:r>
        <w:rPr>
          <w:rFonts w:cstheme="minorHAnsi"/>
          <w:b/>
          <w:bCs/>
          <w:sz w:val="24"/>
          <w:szCs w:val="24"/>
        </w:rPr>
        <w:t>Serological Profiling Using a Proteome-Wide Mycobacterium tuberculosis Phage Display Library to Define Antibody–Antigen Complexes Associated with TB Disease States</w:t>
      </w:r>
    </w:p>
    <w:p w14:paraId="1B5C526D" w14:textId="77777777" w:rsidR="00286D1B" w:rsidRDefault="004B1BBD">
      <w:pPr>
        <w:rPr>
          <w:rFonts w:cstheme="minorHAnsi"/>
          <w:sz w:val="20"/>
          <w:szCs w:val="20"/>
        </w:rPr>
      </w:pPr>
      <w:r>
        <w:rPr>
          <w:rFonts w:cstheme="minorHAnsi"/>
          <w:sz w:val="20"/>
          <w:szCs w:val="20"/>
        </w:rPr>
        <w:t>Fatoumatta Darboe, UCSF</w:t>
      </w:r>
    </w:p>
    <w:p w14:paraId="3FD2E668" w14:textId="77777777" w:rsidR="00286D1B" w:rsidRDefault="004B1BBD">
      <w:pPr>
        <w:rPr>
          <w:rFonts w:eastAsia="Aptos" w:cstheme="minorHAnsi"/>
          <w:sz w:val="20"/>
        </w:rPr>
      </w:pPr>
      <w:r>
        <w:rPr>
          <w:rFonts w:eastAsia="Aptos" w:cstheme="minorHAnsi"/>
          <w:sz w:val="20"/>
        </w:rPr>
        <w:t xml:space="preserve">Email: </w:t>
      </w:r>
      <w:hyperlink r:id="rId25" w:history="1">
        <w:r>
          <w:rPr>
            <w:rStyle w:val="Hyperlink"/>
            <w:rFonts w:eastAsia="Aptos" w:cstheme="minorHAnsi"/>
            <w:sz w:val="20"/>
          </w:rPr>
          <w:t>fatoumatta.darboe@ucsf.edu</w:t>
        </w:r>
      </w:hyperlink>
    </w:p>
    <w:p w14:paraId="18DDF036" w14:textId="77777777" w:rsidR="00286D1B" w:rsidRDefault="00286D1B">
      <w:pPr>
        <w:rPr>
          <w:rFonts w:cstheme="minorHAnsi"/>
          <w:sz w:val="20"/>
          <w:szCs w:val="20"/>
        </w:rPr>
      </w:pPr>
    </w:p>
    <w:p w14:paraId="15550596" w14:textId="77777777" w:rsidR="00286D1B" w:rsidRDefault="004B1BBD">
      <w:pPr>
        <w:rPr>
          <w:rFonts w:cstheme="minorHAnsi"/>
          <w:sz w:val="20"/>
          <w:szCs w:val="20"/>
        </w:rPr>
      </w:pPr>
      <w:r>
        <w:rPr>
          <w:rFonts w:cstheme="minorHAnsi"/>
          <w:sz w:val="20"/>
          <w:szCs w:val="20"/>
        </w:rPr>
        <w:t>Darboe Fatoumatta</w:t>
      </w:r>
      <w:r>
        <w:rPr>
          <w:rFonts w:cs="Calibri (Body)"/>
          <w:sz w:val="18"/>
          <w:szCs w:val="18"/>
          <w:vertAlign w:val="superscript"/>
        </w:rPr>
        <w:t>1</w:t>
      </w:r>
      <w:r>
        <w:rPr>
          <w:rFonts w:cstheme="minorHAnsi"/>
          <w:sz w:val="20"/>
          <w:szCs w:val="20"/>
        </w:rPr>
        <w:t>; Boutros Christine</w:t>
      </w:r>
      <w:r>
        <w:rPr>
          <w:rFonts w:cs="Calibri (Body)"/>
          <w:sz w:val="18"/>
          <w:szCs w:val="18"/>
          <w:vertAlign w:val="superscript"/>
        </w:rPr>
        <w:t>2,3,4</w:t>
      </w:r>
      <w:r>
        <w:rPr>
          <w:rFonts w:cstheme="minorHAnsi"/>
          <w:sz w:val="20"/>
          <w:szCs w:val="20"/>
        </w:rPr>
        <w:t>; Cardenas Jara Ariana</w:t>
      </w:r>
      <w:r>
        <w:rPr>
          <w:rFonts w:cs="Calibri (Body)"/>
          <w:sz w:val="18"/>
          <w:szCs w:val="18"/>
          <w:vertAlign w:val="superscript"/>
        </w:rPr>
        <w:t>1</w:t>
      </w:r>
      <w:r>
        <w:rPr>
          <w:rFonts w:cstheme="minorHAnsi"/>
          <w:sz w:val="20"/>
          <w:szCs w:val="20"/>
        </w:rPr>
        <w:t>; R Leon Segundo</w:t>
      </w:r>
      <w:r>
        <w:rPr>
          <w:rFonts w:cs="Calibri (Body)"/>
          <w:sz w:val="18"/>
          <w:szCs w:val="18"/>
          <w:vertAlign w:val="superscript"/>
        </w:rPr>
        <w:t>5</w:t>
      </w:r>
      <w:r>
        <w:rPr>
          <w:rFonts w:cstheme="minorHAnsi"/>
          <w:sz w:val="20"/>
          <w:szCs w:val="20"/>
        </w:rPr>
        <w:t>; Cattamanchi Adithya</w:t>
      </w:r>
      <w:r>
        <w:rPr>
          <w:rFonts w:cs="Calibri (Body)"/>
          <w:sz w:val="18"/>
          <w:szCs w:val="18"/>
          <w:vertAlign w:val="superscript"/>
        </w:rPr>
        <w:t>6</w:t>
      </w:r>
      <w:r>
        <w:rPr>
          <w:rFonts w:cstheme="minorHAnsi"/>
          <w:sz w:val="20"/>
          <w:szCs w:val="20"/>
        </w:rPr>
        <w:t>; DeRisi Joseph</w:t>
      </w:r>
      <w:r>
        <w:rPr>
          <w:rFonts w:cs="Calibri (Body)"/>
          <w:sz w:val="18"/>
          <w:szCs w:val="18"/>
          <w:vertAlign w:val="superscript"/>
        </w:rPr>
        <w:t>7,8</w:t>
      </w:r>
      <w:r>
        <w:rPr>
          <w:rFonts w:cstheme="minorHAnsi"/>
          <w:sz w:val="20"/>
          <w:szCs w:val="20"/>
        </w:rPr>
        <w:t>; Wilson Michael</w:t>
      </w:r>
      <w:r>
        <w:rPr>
          <w:rFonts w:cs="Calibri (Body)"/>
          <w:sz w:val="18"/>
          <w:szCs w:val="18"/>
          <w:vertAlign w:val="superscript"/>
        </w:rPr>
        <w:t>2</w:t>
      </w:r>
      <w:r>
        <w:rPr>
          <w:rFonts w:cstheme="minorHAnsi"/>
          <w:sz w:val="20"/>
          <w:szCs w:val="20"/>
        </w:rPr>
        <w:t>; Jaganath Devan</w:t>
      </w:r>
      <w:r>
        <w:rPr>
          <w:rFonts w:cs="Calibri (Body)"/>
          <w:sz w:val="18"/>
          <w:szCs w:val="18"/>
          <w:vertAlign w:val="superscript"/>
        </w:rPr>
        <w:t>6,10</w:t>
      </w:r>
      <w:r>
        <w:rPr>
          <w:rFonts w:cstheme="minorHAnsi"/>
          <w:sz w:val="20"/>
          <w:szCs w:val="20"/>
        </w:rPr>
        <w:t>; Ernst Joel</w:t>
      </w:r>
      <w:r>
        <w:rPr>
          <w:rFonts w:cs="Calibri (Body)"/>
          <w:sz w:val="18"/>
          <w:szCs w:val="18"/>
          <w:vertAlign w:val="superscript"/>
        </w:rPr>
        <w:t>1</w:t>
      </w:r>
      <w:r>
        <w:rPr>
          <w:rFonts w:cstheme="minorHAnsi"/>
          <w:sz w:val="20"/>
          <w:szCs w:val="20"/>
        </w:rPr>
        <w:t>; Suliman Sara</w:t>
      </w:r>
      <w:r>
        <w:rPr>
          <w:rFonts w:cs="Calibri (Body)"/>
          <w:sz w:val="18"/>
          <w:szCs w:val="18"/>
          <w:vertAlign w:val="superscript"/>
        </w:rPr>
        <w:t>1</w:t>
      </w:r>
      <w:r>
        <w:rPr>
          <w:rFonts w:cstheme="minorHAnsi"/>
          <w:sz w:val="20"/>
          <w:szCs w:val="20"/>
        </w:rPr>
        <w:t>; COMBO study consortium</w:t>
      </w:r>
    </w:p>
    <w:p w14:paraId="79C40748" w14:textId="77777777" w:rsidR="00286D1B" w:rsidRDefault="004B1BBD">
      <w:pPr>
        <w:spacing w:line="240" w:lineRule="auto"/>
        <w:contextualSpacing/>
        <w:rPr>
          <w:rFonts w:cstheme="minorHAnsi"/>
          <w:sz w:val="18"/>
          <w:szCs w:val="18"/>
        </w:rPr>
      </w:pPr>
      <w:r>
        <w:rPr>
          <w:rFonts w:cs="Calibri (Body)"/>
          <w:sz w:val="18"/>
          <w:szCs w:val="18"/>
          <w:vertAlign w:val="superscript"/>
        </w:rPr>
        <w:t>1</w:t>
      </w:r>
      <w:r>
        <w:rPr>
          <w:rFonts w:cstheme="minorHAnsi"/>
          <w:sz w:val="18"/>
          <w:szCs w:val="18"/>
        </w:rPr>
        <w:t xml:space="preserve"> Division of Experimental Medicine; Deparment of Medicine, University of California San Francisco, San Francisco, CA, USA</w:t>
      </w:r>
    </w:p>
    <w:p w14:paraId="70585368" w14:textId="77777777" w:rsidR="00286D1B" w:rsidRDefault="004B1BBD">
      <w:pPr>
        <w:spacing w:line="240" w:lineRule="auto"/>
        <w:contextualSpacing/>
        <w:rPr>
          <w:rFonts w:cstheme="minorHAnsi"/>
          <w:sz w:val="18"/>
          <w:szCs w:val="18"/>
        </w:rPr>
      </w:pPr>
      <w:r>
        <w:rPr>
          <w:rFonts w:cs="Calibri (Body)"/>
          <w:sz w:val="18"/>
          <w:szCs w:val="18"/>
          <w:vertAlign w:val="superscript"/>
        </w:rPr>
        <w:t xml:space="preserve">2 </w:t>
      </w:r>
      <w:r>
        <w:rPr>
          <w:rFonts w:cstheme="minorHAnsi"/>
          <w:sz w:val="18"/>
          <w:szCs w:val="18"/>
        </w:rPr>
        <w:t>Weill Institute for Neurosciences, Department of Neurology, University of California, San Francisco, San Francisco, CA, USA.</w:t>
      </w:r>
    </w:p>
    <w:p w14:paraId="0784BF89" w14:textId="77777777" w:rsidR="00286D1B" w:rsidRDefault="004B1BBD">
      <w:pPr>
        <w:spacing w:line="240" w:lineRule="auto"/>
        <w:contextualSpacing/>
        <w:rPr>
          <w:rFonts w:cstheme="minorHAnsi"/>
          <w:sz w:val="18"/>
          <w:szCs w:val="18"/>
        </w:rPr>
      </w:pPr>
      <w:r>
        <w:rPr>
          <w:rFonts w:cs="Calibri (Body)"/>
          <w:sz w:val="18"/>
          <w:szCs w:val="18"/>
          <w:vertAlign w:val="superscript"/>
        </w:rPr>
        <w:t xml:space="preserve">3 </w:t>
      </w:r>
      <w:r>
        <w:rPr>
          <w:rFonts w:cstheme="minorHAnsi"/>
          <w:sz w:val="18"/>
          <w:szCs w:val="18"/>
        </w:rPr>
        <w:t>Neurosciences Graduate Program, University of California, San Francisco, San Francisco, CA, USA.</w:t>
      </w:r>
    </w:p>
    <w:p w14:paraId="0AB49CE6" w14:textId="77777777" w:rsidR="00286D1B" w:rsidRDefault="004B1BBD">
      <w:pPr>
        <w:spacing w:line="240" w:lineRule="auto"/>
        <w:contextualSpacing/>
        <w:rPr>
          <w:rFonts w:cstheme="minorHAnsi"/>
          <w:sz w:val="18"/>
          <w:szCs w:val="18"/>
        </w:rPr>
      </w:pPr>
      <w:r>
        <w:rPr>
          <w:rFonts w:cs="Calibri (Body)"/>
          <w:sz w:val="18"/>
          <w:szCs w:val="18"/>
          <w:vertAlign w:val="superscript"/>
        </w:rPr>
        <w:t xml:space="preserve">4 </w:t>
      </w:r>
      <w:r>
        <w:rPr>
          <w:rFonts w:cstheme="minorHAnsi"/>
          <w:sz w:val="18"/>
          <w:szCs w:val="18"/>
        </w:rPr>
        <w:t>Medical Scientist Training Program, University of California, San Francisco, San Francisco, CA, USA.</w:t>
      </w:r>
    </w:p>
    <w:p w14:paraId="4DF3EAE3" w14:textId="77777777" w:rsidR="00286D1B" w:rsidRDefault="004B1BBD">
      <w:pPr>
        <w:spacing w:line="240" w:lineRule="auto"/>
        <w:contextualSpacing/>
        <w:rPr>
          <w:rFonts w:cstheme="minorHAnsi"/>
          <w:sz w:val="18"/>
          <w:szCs w:val="18"/>
        </w:rPr>
      </w:pPr>
      <w:r>
        <w:rPr>
          <w:rFonts w:cs="Calibri (Body)"/>
          <w:sz w:val="18"/>
          <w:szCs w:val="18"/>
          <w:vertAlign w:val="superscript"/>
        </w:rPr>
        <w:t>5</w:t>
      </w:r>
      <w:r>
        <w:rPr>
          <w:rFonts w:cstheme="minorHAnsi"/>
          <w:sz w:val="18"/>
          <w:szCs w:val="18"/>
        </w:rPr>
        <w:t xml:space="preserve"> Universidad Privada San Juan Bautista Facultad de Ciencias de la Salud: Lima, Peru</w:t>
      </w:r>
    </w:p>
    <w:p w14:paraId="2186DD4F" w14:textId="77777777" w:rsidR="00286D1B" w:rsidRDefault="004B1BBD">
      <w:pPr>
        <w:spacing w:line="240" w:lineRule="auto"/>
        <w:contextualSpacing/>
        <w:rPr>
          <w:rFonts w:cstheme="minorHAnsi"/>
          <w:sz w:val="18"/>
          <w:szCs w:val="18"/>
        </w:rPr>
      </w:pPr>
      <w:r>
        <w:rPr>
          <w:rFonts w:cs="Calibri (Body)"/>
          <w:sz w:val="18"/>
          <w:szCs w:val="18"/>
          <w:vertAlign w:val="superscript"/>
        </w:rPr>
        <w:t>6</w:t>
      </w:r>
      <w:r>
        <w:rPr>
          <w:rFonts w:cstheme="minorHAnsi"/>
          <w:sz w:val="18"/>
          <w:szCs w:val="18"/>
        </w:rPr>
        <w:t xml:space="preserve"> Institute for Global Health Sciences, Center for Tuberculosis, University of California San Francisco, San Francisco, CA, USA</w:t>
      </w:r>
    </w:p>
    <w:p w14:paraId="4DE4E72E" w14:textId="77777777" w:rsidR="00286D1B" w:rsidRDefault="004B1BBD">
      <w:pPr>
        <w:spacing w:line="240" w:lineRule="auto"/>
        <w:contextualSpacing/>
        <w:rPr>
          <w:rFonts w:cstheme="minorHAnsi"/>
          <w:sz w:val="18"/>
          <w:szCs w:val="18"/>
        </w:rPr>
      </w:pPr>
      <w:r>
        <w:rPr>
          <w:rFonts w:cs="Calibri (Body)"/>
          <w:sz w:val="18"/>
          <w:szCs w:val="18"/>
          <w:vertAlign w:val="superscript"/>
        </w:rPr>
        <w:t>7</w:t>
      </w:r>
      <w:r>
        <w:rPr>
          <w:rFonts w:cstheme="minorHAnsi"/>
          <w:sz w:val="18"/>
          <w:szCs w:val="18"/>
        </w:rPr>
        <w:t xml:space="preserve"> Division of Pulmonary Diseases and Critical Care Medicine, Department of Medicine, University of California Irvine, Irvine, CA, USA</w:t>
      </w:r>
    </w:p>
    <w:p w14:paraId="6185B47D" w14:textId="77777777" w:rsidR="00286D1B" w:rsidRDefault="004B1BBD">
      <w:pPr>
        <w:spacing w:line="240" w:lineRule="auto"/>
        <w:contextualSpacing/>
        <w:rPr>
          <w:rFonts w:cstheme="minorHAnsi"/>
          <w:sz w:val="18"/>
          <w:szCs w:val="18"/>
        </w:rPr>
      </w:pPr>
      <w:r>
        <w:rPr>
          <w:rFonts w:cs="Calibri (Body)"/>
          <w:sz w:val="18"/>
          <w:szCs w:val="18"/>
          <w:vertAlign w:val="superscript"/>
        </w:rPr>
        <w:t>8</w:t>
      </w:r>
      <w:r>
        <w:rPr>
          <w:rFonts w:cstheme="minorHAnsi"/>
          <w:sz w:val="18"/>
          <w:szCs w:val="18"/>
        </w:rPr>
        <w:t xml:space="preserve"> University of California San Francisco, San Francisco, CA, USA</w:t>
      </w:r>
    </w:p>
    <w:p w14:paraId="616A0503" w14:textId="77777777" w:rsidR="00286D1B" w:rsidRDefault="004B1BBD">
      <w:pPr>
        <w:spacing w:line="240" w:lineRule="auto"/>
        <w:contextualSpacing/>
        <w:rPr>
          <w:rFonts w:cstheme="minorHAnsi"/>
          <w:sz w:val="18"/>
          <w:szCs w:val="18"/>
        </w:rPr>
      </w:pPr>
      <w:r>
        <w:rPr>
          <w:rFonts w:cs="Calibri (Body)"/>
          <w:sz w:val="18"/>
          <w:szCs w:val="18"/>
          <w:vertAlign w:val="superscript"/>
        </w:rPr>
        <w:t>9</w:t>
      </w:r>
      <w:r>
        <w:rPr>
          <w:rFonts w:cstheme="minorHAnsi"/>
          <w:sz w:val="18"/>
          <w:szCs w:val="18"/>
        </w:rPr>
        <w:t xml:space="preserve"> Chan Zuckerberg Biohub, San Francisco, CA, USA</w:t>
      </w:r>
    </w:p>
    <w:p w14:paraId="3B4F299E" w14:textId="77777777" w:rsidR="00286D1B" w:rsidRDefault="004B1BBD">
      <w:pPr>
        <w:spacing w:line="240" w:lineRule="auto"/>
        <w:contextualSpacing/>
        <w:rPr>
          <w:rFonts w:cstheme="minorHAnsi"/>
          <w:sz w:val="18"/>
          <w:szCs w:val="18"/>
        </w:rPr>
      </w:pPr>
      <w:r>
        <w:rPr>
          <w:rFonts w:cs="Calibri (Body)"/>
          <w:sz w:val="18"/>
          <w:szCs w:val="18"/>
          <w:vertAlign w:val="superscript"/>
        </w:rPr>
        <w:t>10</w:t>
      </w:r>
      <w:r>
        <w:rPr>
          <w:rFonts w:cstheme="minorHAnsi"/>
          <w:sz w:val="18"/>
          <w:szCs w:val="18"/>
        </w:rPr>
        <w:t xml:space="preserve"> Department of Pediatrics, Division of Pediatric Infectious Diseases, University of California San Francisco, San Francisco, CA, USA</w:t>
      </w:r>
    </w:p>
    <w:p w14:paraId="66FC70F5" w14:textId="77777777" w:rsidR="00286D1B" w:rsidRDefault="00286D1B">
      <w:pPr>
        <w:rPr>
          <w:rFonts w:cstheme="minorHAnsi"/>
          <w:sz w:val="20"/>
          <w:szCs w:val="20"/>
        </w:rPr>
      </w:pPr>
    </w:p>
    <w:p w14:paraId="7D8649AE" w14:textId="77777777" w:rsidR="00286D1B" w:rsidRDefault="004B1BBD">
      <w:pPr>
        <w:rPr>
          <w:rFonts w:cstheme="minorHAnsi"/>
          <w:sz w:val="20"/>
          <w:szCs w:val="20"/>
        </w:rPr>
      </w:pPr>
      <w:r>
        <w:rPr>
          <w:rFonts w:cstheme="minorHAnsi"/>
          <w:sz w:val="20"/>
          <w:szCs w:val="20"/>
        </w:rPr>
        <w:t>The role of T cells in protection against tuberculosis (TB) has been extensively studied, whilst antibody-mediated protection remains understudied. Recent studies suggest that antibodies contribute to protection against TB. In animal models, weak early humoral responses are associated with disease reactivation, while in humans, antibody responses to immunodominant Mycobacterium tuberculosis (Mtb) antigens distinguish TB states and predict progression to active disease. Understanding naturally acquired immunity is therefore essential for achieving global TB elimination targets. However, current assays focus mainly on immunodominant antigens. Thus, we aim to measure antibody reactivity across the entire Mtb proteome to identify antigens associated with distinct TB states, protection, and susceptibility to active disease.</w:t>
      </w:r>
    </w:p>
    <w:p w14:paraId="23C5A0E2" w14:textId="77777777" w:rsidR="00286D1B" w:rsidRDefault="004B1BBD">
      <w:pPr>
        <w:rPr>
          <w:rFonts w:cstheme="minorHAnsi"/>
          <w:sz w:val="20"/>
          <w:szCs w:val="20"/>
        </w:rPr>
      </w:pPr>
      <w:r>
        <w:rPr>
          <w:rFonts w:cstheme="minorHAnsi"/>
          <w:sz w:val="20"/>
          <w:szCs w:val="20"/>
        </w:rPr>
        <w:t>We hypothesize that we will identify antibody reactivity to both classical and non-classical Mtb antigens associated with different TB disease states.</w:t>
      </w:r>
    </w:p>
    <w:p w14:paraId="6FB9BD90" w14:textId="77777777" w:rsidR="00286D1B" w:rsidRDefault="004B1BBD">
      <w:pPr>
        <w:rPr>
          <w:rFonts w:cstheme="minorHAnsi"/>
          <w:sz w:val="20"/>
          <w:szCs w:val="20"/>
        </w:rPr>
      </w:pPr>
      <w:r>
        <w:rPr>
          <w:rFonts w:cstheme="minorHAnsi"/>
          <w:sz w:val="20"/>
          <w:szCs w:val="20"/>
        </w:rPr>
        <w:t xml:space="preserve">We designed a customized Mtb PhIPseq T7-phage display library, covering all known coding regions, including antigenic variants, to systematically define antibody targets of Mtb. We included the full proteome of four Mtb </w:t>
      </w:r>
      <w:proofErr w:type="gramStart"/>
      <w:r>
        <w:rPr>
          <w:rFonts w:cstheme="minorHAnsi"/>
          <w:sz w:val="20"/>
          <w:szCs w:val="20"/>
        </w:rPr>
        <w:t>lineages ;</w:t>
      </w:r>
      <w:proofErr w:type="gramEnd"/>
      <w:r>
        <w:rPr>
          <w:rFonts w:cstheme="minorHAnsi"/>
          <w:sz w:val="20"/>
          <w:szCs w:val="20"/>
        </w:rPr>
        <w:t xml:space="preserve"> lineage 1 (East-African Indian lineage), lineage 2 (HN878), lineage 4 (H37Rv) and lineage 6 (M africanum 2), providing coverage for lineages responsible for more than 70% of TB disease worldwide. Amino acid sequences from these lineages were customized resulting in a display library containing 87,128 tiled 50-amino acid peptides. Using Phage ImmunoPrecipitation Sequencing (PhIP-seq), we profiled serum samples from a cohort of adult index TB patients and both QuantiFERON-positive and negative household contacts from Peru. We also profiled serum samples from a multi-site pediatric cohort of children with microbiologically confirmed, unconfirmed, and unlikely TB. We also included a cohort of healthy persons from the US (with assumptions that these persons have no prior exposure to Mtb). We will report preliminary results from these cohorts to define antigen-antibody signatures associated with adult and pediatric TB disease states.</w:t>
      </w:r>
    </w:p>
    <w:p w14:paraId="43AA37BF" w14:textId="77777777" w:rsidR="00286D1B" w:rsidRDefault="004B1BBD">
      <w:pPr>
        <w:rPr>
          <w:rFonts w:cstheme="minorHAnsi"/>
          <w:sz w:val="20"/>
          <w:szCs w:val="20"/>
        </w:rPr>
      </w:pPr>
      <w:r>
        <w:rPr>
          <w:rFonts w:cstheme="minorHAnsi"/>
          <w:sz w:val="20"/>
          <w:szCs w:val="20"/>
        </w:rPr>
        <w:t>Approximately 93% of the library successfully mapped to the Mtb proteome. To identify immunogenic antigens, we are measuring serological reactivity to Mtb antigens across TB disease states in adults and children. We expect to identify Mtb-specific reactive antibodies against several antigens which will be associated with TB disease.</w:t>
      </w:r>
    </w:p>
    <w:p w14:paraId="74296C95" w14:textId="77777777" w:rsidR="00691E24" w:rsidRDefault="00691E24">
      <w:pPr>
        <w:rPr>
          <w:rFonts w:eastAsia="Times New Roman"/>
          <w:color w:val="000000" w:themeColor="text1"/>
          <w:sz w:val="24"/>
          <w:szCs w:val="24"/>
        </w:rPr>
      </w:pPr>
      <w:r>
        <w:rPr>
          <w:rFonts w:eastAsia="Times New Roman"/>
        </w:rPr>
        <w:lastRenderedPageBreak/>
        <w:br w:type="page"/>
      </w:r>
    </w:p>
    <w:p w14:paraId="743773EE" w14:textId="77777777" w:rsidR="00286D1B" w:rsidRDefault="004B1BBD">
      <w:pPr>
        <w:pStyle w:val="Heading2"/>
        <w:rPr>
          <w:rFonts w:asciiTheme="minorHAnsi" w:eastAsia="Times New Roman" w:hAnsiTheme="minorHAnsi" w:cstheme="minorBidi"/>
        </w:rPr>
      </w:pPr>
      <w:bookmarkStart w:id="20" w:name="_Toc238729448"/>
      <w:r>
        <w:rPr>
          <w:rFonts w:asciiTheme="minorHAnsi" w:eastAsia="Times New Roman" w:hAnsiTheme="minorHAnsi" w:cstheme="minorBidi"/>
        </w:rPr>
        <w:lastRenderedPageBreak/>
        <w:t>PP-07: Linda Del Cid, UC Berkeley</w:t>
      </w:r>
      <w:bookmarkEnd w:id="20"/>
    </w:p>
    <w:p w14:paraId="0E676F92" w14:textId="77777777" w:rsidR="00286D1B" w:rsidRDefault="00286D1B">
      <w:pPr>
        <w:rPr>
          <w:rFonts w:cstheme="minorHAnsi"/>
          <w:sz w:val="20"/>
          <w:szCs w:val="20"/>
        </w:rPr>
      </w:pPr>
    </w:p>
    <w:p w14:paraId="312FDC20" w14:textId="77777777" w:rsidR="00286D1B" w:rsidRDefault="004B1BBD">
      <w:pPr>
        <w:rPr>
          <w:rFonts w:cstheme="minorHAnsi"/>
          <w:sz w:val="24"/>
          <w:szCs w:val="24"/>
        </w:rPr>
      </w:pPr>
      <w:r>
        <w:rPr>
          <w:rFonts w:cstheme="minorHAnsi"/>
          <w:b/>
          <w:bCs/>
          <w:sz w:val="24"/>
          <w:szCs w:val="24"/>
        </w:rPr>
        <w:t>Harnessing rare actinomycete interactions to find novel inhibitors of Mycobacterium tuberculosis</w:t>
      </w:r>
    </w:p>
    <w:p w14:paraId="141C9849" w14:textId="77777777" w:rsidR="00286D1B" w:rsidRDefault="004B1BBD">
      <w:pPr>
        <w:rPr>
          <w:rFonts w:cstheme="minorHAnsi"/>
          <w:sz w:val="20"/>
          <w:szCs w:val="20"/>
        </w:rPr>
      </w:pPr>
      <w:r>
        <w:rPr>
          <w:rFonts w:cstheme="minorHAnsi"/>
          <w:sz w:val="20"/>
          <w:szCs w:val="20"/>
        </w:rPr>
        <w:t>Linda Del Cid, UC Berkeley</w:t>
      </w:r>
    </w:p>
    <w:p w14:paraId="280AE823" w14:textId="77777777" w:rsidR="00286D1B" w:rsidRDefault="004B1BBD">
      <w:pPr>
        <w:rPr>
          <w:rFonts w:eastAsia="Aptos" w:cstheme="minorHAnsi"/>
          <w:sz w:val="20"/>
        </w:rPr>
      </w:pPr>
      <w:r>
        <w:rPr>
          <w:rFonts w:eastAsia="Aptos" w:cstheme="minorHAnsi"/>
          <w:sz w:val="20"/>
        </w:rPr>
        <w:t xml:space="preserve">Email: </w:t>
      </w:r>
      <w:hyperlink r:id="rId26" w:history="1">
        <w:r>
          <w:rPr>
            <w:rStyle w:val="Hyperlink"/>
            <w:rFonts w:eastAsia="Aptos" w:cstheme="minorHAnsi"/>
            <w:sz w:val="20"/>
          </w:rPr>
          <w:t>lindadelcid@berkeley.edu</w:t>
        </w:r>
      </w:hyperlink>
    </w:p>
    <w:p w14:paraId="4578425C" w14:textId="77777777" w:rsidR="00286D1B" w:rsidRDefault="00286D1B">
      <w:pPr>
        <w:rPr>
          <w:rFonts w:cstheme="minorHAnsi"/>
          <w:sz w:val="20"/>
          <w:szCs w:val="20"/>
        </w:rPr>
      </w:pPr>
    </w:p>
    <w:p w14:paraId="31968D61" w14:textId="77777777" w:rsidR="00286D1B" w:rsidRDefault="004B1BBD">
      <w:pPr>
        <w:rPr>
          <w:rFonts w:cstheme="minorHAnsi"/>
          <w:sz w:val="20"/>
          <w:szCs w:val="20"/>
        </w:rPr>
      </w:pPr>
      <w:r>
        <w:rPr>
          <w:rFonts w:cstheme="minorHAnsi"/>
          <w:sz w:val="20"/>
          <w:szCs w:val="20"/>
        </w:rPr>
        <w:t>Del Cid, Linda; Rae, Chris; Schonauer, Laine; Cox, Jeffery; Traxler, Matt</w:t>
      </w:r>
    </w:p>
    <w:p w14:paraId="77BA806D" w14:textId="77777777" w:rsidR="00286D1B" w:rsidRDefault="004B1BBD">
      <w:pPr>
        <w:spacing w:line="240" w:lineRule="auto"/>
        <w:contextualSpacing/>
        <w:rPr>
          <w:rFonts w:cstheme="minorHAnsi"/>
          <w:sz w:val="18"/>
          <w:szCs w:val="18"/>
        </w:rPr>
      </w:pPr>
      <w:r>
        <w:rPr>
          <w:rFonts w:cstheme="minorHAnsi"/>
          <w:sz w:val="18"/>
          <w:szCs w:val="18"/>
        </w:rPr>
        <w:t xml:space="preserve">UC Berkeley </w:t>
      </w:r>
    </w:p>
    <w:p w14:paraId="48DDCCA9" w14:textId="77777777" w:rsidR="00286D1B" w:rsidRDefault="00286D1B">
      <w:pPr>
        <w:rPr>
          <w:rFonts w:cstheme="minorHAnsi"/>
          <w:sz w:val="20"/>
          <w:szCs w:val="20"/>
        </w:rPr>
      </w:pPr>
    </w:p>
    <w:p w14:paraId="00013B00" w14:textId="77777777" w:rsidR="00286D1B" w:rsidRDefault="004B1BBD">
      <w:pPr>
        <w:rPr>
          <w:rFonts w:cstheme="minorHAnsi"/>
          <w:sz w:val="20"/>
          <w:szCs w:val="20"/>
        </w:rPr>
      </w:pPr>
      <w:r>
        <w:rPr>
          <w:rFonts w:cstheme="minorHAnsi"/>
          <w:sz w:val="20"/>
          <w:szCs w:val="20"/>
        </w:rPr>
        <w:t xml:space="preserve">Identifying new drug targets for Mycobacterium tuberculosis (Mtb) is a major research priority, as new therapeutics that shorten antibiotic regimens and/or fight antibiotic-resistant infections would have a major impact on global TB. We have designed an assay that utilizes a collection of rare actinomycetes (filamentous bacteria from the soil) to screen for new natural antibiotics that inhibit Mtb growth. Collectively, the genomes of these actinomycetes encode a vast array of biosynthetic gene clusters (BGCs) that encode the ability to produce a wealth of novel natural products, the vast majority of which have not been explored. Importantly, our screen integrates the findings that most actinomycete BGCs are inactive or ‘silent’ when grown in axenic </w:t>
      </w:r>
      <w:proofErr w:type="gramStart"/>
      <w:r>
        <w:rPr>
          <w:rFonts w:cstheme="minorHAnsi"/>
          <w:sz w:val="20"/>
          <w:szCs w:val="20"/>
        </w:rPr>
        <w:t>culture, and</w:t>
      </w:r>
      <w:proofErr w:type="gramEnd"/>
      <w:r>
        <w:rPr>
          <w:rFonts w:cstheme="minorHAnsi"/>
          <w:sz w:val="20"/>
          <w:szCs w:val="20"/>
        </w:rPr>
        <w:t xml:space="preserve"> are expressed only when grown in co-culture with different actinomycete species. Thus, to activate these silent BGCs, we co-culture two different actinomycetes on the same plate to trigger production of novel antimicrobials that may not have been detected otherwise. We are screening a library of 135 rare actinomycetes, representing &gt;9000 pairwise interactions for inhibitors of Mtb growth. Although our initial pilot </w:t>
      </w:r>
      <w:proofErr w:type="gramStart"/>
      <w:r>
        <w:rPr>
          <w:rFonts w:cstheme="minorHAnsi"/>
          <w:sz w:val="20"/>
          <w:szCs w:val="20"/>
        </w:rPr>
        <w:t>screen  monitored</w:t>
      </w:r>
      <w:proofErr w:type="gramEnd"/>
      <w:r>
        <w:rPr>
          <w:rFonts w:cstheme="minorHAnsi"/>
          <w:sz w:val="20"/>
          <w:szCs w:val="20"/>
        </w:rPr>
        <w:t xml:space="preserve"> only 125 interactions, we have identified four different actinomycete strains that produce inhibitors of Mtb growth. Importantly, preliminary “de-replication assays” on these four strains indicate that the active molecules they produce are unlikely to be known antibiotic scaffolds. Current work is focused on purifying and identifying the structure of these active molecules, with the goal of identifying their bacterial targets.</w:t>
      </w:r>
    </w:p>
    <w:p w14:paraId="4A412D0A" w14:textId="77777777" w:rsidR="00691E24" w:rsidRDefault="00691E24">
      <w:pPr>
        <w:rPr>
          <w:rFonts w:eastAsia="Times New Roman"/>
          <w:color w:val="000000" w:themeColor="text1"/>
          <w:sz w:val="24"/>
          <w:szCs w:val="24"/>
        </w:rPr>
      </w:pPr>
      <w:r>
        <w:rPr>
          <w:rFonts w:eastAsia="Times New Roman"/>
        </w:rPr>
        <w:br w:type="page"/>
      </w:r>
    </w:p>
    <w:p w14:paraId="4169C1C2" w14:textId="77777777" w:rsidR="00286D1B" w:rsidRDefault="004B1BBD">
      <w:pPr>
        <w:pStyle w:val="Heading2"/>
        <w:rPr>
          <w:rFonts w:asciiTheme="minorHAnsi" w:eastAsia="Times New Roman" w:hAnsiTheme="minorHAnsi" w:cstheme="minorBidi"/>
        </w:rPr>
      </w:pPr>
      <w:bookmarkStart w:id="21" w:name="_Toc238729449"/>
      <w:r>
        <w:rPr>
          <w:rFonts w:asciiTheme="minorHAnsi" w:eastAsia="Times New Roman" w:hAnsiTheme="minorHAnsi" w:cstheme="minorBidi"/>
        </w:rPr>
        <w:lastRenderedPageBreak/>
        <w:t>PP-08: Rama Drwich, UC Davis</w:t>
      </w:r>
      <w:bookmarkEnd w:id="21"/>
    </w:p>
    <w:p w14:paraId="113B111C" w14:textId="77777777" w:rsidR="00286D1B" w:rsidRDefault="00286D1B">
      <w:pPr>
        <w:rPr>
          <w:rFonts w:cstheme="minorHAnsi"/>
          <w:sz w:val="20"/>
          <w:szCs w:val="20"/>
        </w:rPr>
      </w:pPr>
    </w:p>
    <w:p w14:paraId="220C2CA6" w14:textId="77777777" w:rsidR="00286D1B" w:rsidRDefault="004B1BBD">
      <w:pPr>
        <w:rPr>
          <w:rFonts w:cstheme="minorHAnsi"/>
          <w:sz w:val="24"/>
          <w:szCs w:val="24"/>
        </w:rPr>
      </w:pPr>
      <w:r>
        <w:rPr>
          <w:rFonts w:cstheme="minorHAnsi"/>
          <w:b/>
          <w:bCs/>
          <w:sz w:val="24"/>
          <w:szCs w:val="24"/>
        </w:rPr>
        <w:t>Modulating Reactive Oxygen Species to Promote Antibiotic Induced Cell Death in Mycobacterium abscessus</w:t>
      </w:r>
    </w:p>
    <w:p w14:paraId="4819AF1A" w14:textId="77777777" w:rsidR="00286D1B" w:rsidRDefault="004B1BBD">
      <w:pPr>
        <w:rPr>
          <w:rFonts w:cstheme="minorHAnsi"/>
          <w:sz w:val="20"/>
          <w:szCs w:val="20"/>
        </w:rPr>
      </w:pPr>
      <w:r>
        <w:rPr>
          <w:rFonts w:cstheme="minorHAnsi"/>
          <w:sz w:val="20"/>
          <w:szCs w:val="20"/>
        </w:rPr>
        <w:t>Rama Drwich, UC Davis</w:t>
      </w:r>
    </w:p>
    <w:p w14:paraId="1C5F4746" w14:textId="77777777" w:rsidR="00286D1B" w:rsidRDefault="004B1BBD">
      <w:pPr>
        <w:rPr>
          <w:rFonts w:eastAsia="Aptos" w:cstheme="minorHAnsi"/>
          <w:sz w:val="20"/>
        </w:rPr>
      </w:pPr>
      <w:r>
        <w:rPr>
          <w:rFonts w:eastAsia="Aptos" w:cstheme="minorHAnsi"/>
          <w:sz w:val="20"/>
        </w:rPr>
        <w:t xml:space="preserve">Email: </w:t>
      </w:r>
      <w:hyperlink r:id="rId27" w:history="1">
        <w:r>
          <w:rPr>
            <w:rStyle w:val="Hyperlink"/>
            <w:rFonts w:eastAsia="Aptos" w:cstheme="minorHAnsi"/>
            <w:sz w:val="20"/>
          </w:rPr>
          <w:t>ramadarweesh908@gmail.com</w:t>
        </w:r>
      </w:hyperlink>
    </w:p>
    <w:p w14:paraId="0E3DFF35" w14:textId="77777777" w:rsidR="00286D1B" w:rsidRDefault="00286D1B">
      <w:pPr>
        <w:rPr>
          <w:rFonts w:cstheme="minorHAnsi"/>
          <w:sz w:val="20"/>
          <w:szCs w:val="20"/>
        </w:rPr>
      </w:pPr>
    </w:p>
    <w:p w14:paraId="7B743F42" w14:textId="77777777" w:rsidR="00286D1B" w:rsidRDefault="004B1BBD">
      <w:pPr>
        <w:rPr>
          <w:rFonts w:cstheme="minorHAnsi"/>
          <w:sz w:val="20"/>
          <w:szCs w:val="20"/>
        </w:rPr>
      </w:pPr>
      <w:r>
        <w:rPr>
          <w:rFonts w:cstheme="minorHAnsi"/>
          <w:sz w:val="20"/>
          <w:szCs w:val="20"/>
        </w:rPr>
        <w:t>Drwich, Rama</w:t>
      </w:r>
      <w:r>
        <w:rPr>
          <w:rFonts w:cs="Calibri (Body)"/>
          <w:sz w:val="18"/>
          <w:szCs w:val="18"/>
          <w:vertAlign w:val="superscript"/>
        </w:rPr>
        <w:t>1,2</w:t>
      </w:r>
      <w:r>
        <w:rPr>
          <w:rFonts w:cstheme="minorHAnsi"/>
          <w:sz w:val="20"/>
          <w:szCs w:val="20"/>
        </w:rPr>
        <w:t>; Bates, Nicholas A</w:t>
      </w:r>
      <w:r>
        <w:rPr>
          <w:rFonts w:cs="Calibri (Body)"/>
          <w:sz w:val="18"/>
          <w:szCs w:val="18"/>
          <w:vertAlign w:val="superscript"/>
        </w:rPr>
        <w:t>1,2</w:t>
      </w:r>
      <w:r>
        <w:rPr>
          <w:rFonts w:cstheme="minorHAnsi"/>
          <w:sz w:val="20"/>
          <w:szCs w:val="20"/>
        </w:rPr>
        <w:t>; Penn, Bennett H</w:t>
      </w:r>
      <w:r>
        <w:rPr>
          <w:rFonts w:cs="Calibri (Body)"/>
          <w:sz w:val="18"/>
          <w:szCs w:val="18"/>
          <w:vertAlign w:val="superscript"/>
        </w:rPr>
        <w:t>1,2</w:t>
      </w:r>
    </w:p>
    <w:p w14:paraId="35ABD138" w14:textId="77777777" w:rsidR="00286D1B" w:rsidRDefault="004B1BBD">
      <w:pPr>
        <w:spacing w:line="240" w:lineRule="auto"/>
        <w:contextualSpacing/>
        <w:rPr>
          <w:rFonts w:cstheme="minorHAnsi"/>
          <w:sz w:val="18"/>
          <w:szCs w:val="18"/>
        </w:rPr>
      </w:pPr>
      <w:r>
        <w:rPr>
          <w:rFonts w:cs="Calibri (Body)"/>
          <w:sz w:val="18"/>
          <w:szCs w:val="18"/>
          <w:vertAlign w:val="superscript"/>
        </w:rPr>
        <w:t>1</w:t>
      </w:r>
      <w:r>
        <w:rPr>
          <w:rFonts w:cstheme="minorHAnsi"/>
          <w:sz w:val="18"/>
          <w:szCs w:val="18"/>
        </w:rPr>
        <w:t xml:space="preserve"> Department of Internal Medicine, Division of Infectious Diseases, UC Davis Health.</w:t>
      </w:r>
    </w:p>
    <w:p w14:paraId="1B863021" w14:textId="77777777" w:rsidR="00286D1B" w:rsidRDefault="004B1BBD">
      <w:pPr>
        <w:spacing w:line="240" w:lineRule="auto"/>
        <w:contextualSpacing/>
        <w:rPr>
          <w:rFonts w:cstheme="minorHAnsi"/>
          <w:sz w:val="18"/>
          <w:szCs w:val="18"/>
        </w:rPr>
      </w:pPr>
      <w:r>
        <w:rPr>
          <w:rFonts w:cs="Calibri (Body)"/>
          <w:sz w:val="18"/>
          <w:szCs w:val="18"/>
          <w:vertAlign w:val="superscript"/>
        </w:rPr>
        <w:t>2</w:t>
      </w:r>
      <w:r>
        <w:rPr>
          <w:rFonts w:cstheme="minorHAnsi"/>
          <w:sz w:val="18"/>
          <w:szCs w:val="18"/>
        </w:rPr>
        <w:t xml:space="preserve"> Department of Medical Microbiology and Immunology, University of California, Davis.</w:t>
      </w:r>
    </w:p>
    <w:p w14:paraId="05F13337" w14:textId="77777777" w:rsidR="00286D1B" w:rsidRDefault="00286D1B">
      <w:pPr>
        <w:rPr>
          <w:rFonts w:cstheme="minorHAnsi"/>
          <w:sz w:val="20"/>
          <w:szCs w:val="20"/>
        </w:rPr>
      </w:pPr>
    </w:p>
    <w:p w14:paraId="11467490" w14:textId="77777777" w:rsidR="00286D1B" w:rsidRDefault="004B1BBD">
      <w:pPr>
        <w:rPr>
          <w:rFonts w:cstheme="minorHAnsi"/>
          <w:sz w:val="20"/>
          <w:szCs w:val="20"/>
        </w:rPr>
      </w:pPr>
      <w:r>
        <w:rPr>
          <w:rFonts w:cstheme="minorHAnsi"/>
          <w:sz w:val="20"/>
          <w:szCs w:val="20"/>
        </w:rPr>
        <w:t>Mycobacterium abscessus (Mabs), a non-tuberculous mycobacterium (NTM), is highly resistant to antibiotic treatment and poses a significant clinical challenge. One contributor to reduced antibiotic efficacy is the formation of persisters, viable, non growing subpopulations that survive antibiotics. The prevalence of these persisters increases under stress conditions such as nutrient starvation. To identify genes contributing to antibiotic persistence, we performed transposon mutagenesis coupled with high throughput sequencing (Tn Seq) under nutrient rich and starvation conditions. This analysis identified multiple genes related to the production and detoxification of reactive oxygen species (ROS). Among these, the catalase peroxidase gene katG was further characterized, and its deletion reduced bacterial survival during antibiotic treatment, supporting its role in protecting against ROS mediated damage. Additional genes identified in the screen are also thought to contribute to antibiotic survival by modulating ROS, including other ROS detoxification enzymes and genes involved in iron metabolism. These results provide further insight into the mechanisms of antibiotic induced cell death and highlight the potential role of oxidative stress regulation in persister survival in Mabs.</w:t>
      </w:r>
    </w:p>
    <w:p w14:paraId="56F278E6" w14:textId="77777777" w:rsidR="00691E24" w:rsidRDefault="00691E24">
      <w:pPr>
        <w:rPr>
          <w:rFonts w:eastAsia="Times New Roman"/>
          <w:color w:val="000000" w:themeColor="text1"/>
          <w:sz w:val="24"/>
          <w:szCs w:val="24"/>
        </w:rPr>
      </w:pPr>
      <w:r>
        <w:rPr>
          <w:rFonts w:eastAsia="Times New Roman"/>
        </w:rPr>
        <w:br w:type="page"/>
      </w:r>
    </w:p>
    <w:p w14:paraId="2F14FF6D" w14:textId="77777777" w:rsidR="00286D1B" w:rsidRDefault="004B1BBD">
      <w:pPr>
        <w:pStyle w:val="Heading2"/>
        <w:rPr>
          <w:rFonts w:asciiTheme="minorHAnsi" w:eastAsia="Times New Roman" w:hAnsiTheme="minorHAnsi" w:cstheme="minorBidi"/>
        </w:rPr>
      </w:pPr>
      <w:bookmarkStart w:id="22" w:name="_Toc238729450"/>
      <w:r>
        <w:rPr>
          <w:rFonts w:asciiTheme="minorHAnsi" w:eastAsia="Times New Roman" w:hAnsiTheme="minorHAnsi" w:cstheme="minorBidi"/>
        </w:rPr>
        <w:lastRenderedPageBreak/>
        <w:t>PP-09: Mark Fajans, University of California San Francisco</w:t>
      </w:r>
      <w:bookmarkEnd w:id="22"/>
    </w:p>
    <w:p w14:paraId="5397B357" w14:textId="77777777" w:rsidR="00286D1B" w:rsidRDefault="00286D1B">
      <w:pPr>
        <w:rPr>
          <w:rFonts w:cstheme="minorHAnsi"/>
          <w:sz w:val="20"/>
          <w:szCs w:val="20"/>
        </w:rPr>
      </w:pPr>
    </w:p>
    <w:p w14:paraId="7DC7FA07" w14:textId="77777777" w:rsidR="00286D1B" w:rsidRDefault="004B1BBD">
      <w:pPr>
        <w:rPr>
          <w:rFonts w:cstheme="minorHAnsi"/>
          <w:sz w:val="24"/>
          <w:szCs w:val="24"/>
        </w:rPr>
      </w:pPr>
      <w:r>
        <w:rPr>
          <w:rFonts w:cstheme="minorHAnsi"/>
          <w:b/>
          <w:bCs/>
          <w:sz w:val="24"/>
          <w:szCs w:val="24"/>
        </w:rPr>
        <w:t>Child and caregiver experiences and preferences for swab vs sputum-based TB testing</w:t>
      </w:r>
    </w:p>
    <w:p w14:paraId="7BCFCE2F" w14:textId="77777777" w:rsidR="00286D1B" w:rsidRDefault="004B1BBD">
      <w:pPr>
        <w:rPr>
          <w:rFonts w:cstheme="minorHAnsi"/>
          <w:sz w:val="20"/>
          <w:szCs w:val="20"/>
        </w:rPr>
      </w:pPr>
      <w:r>
        <w:rPr>
          <w:rFonts w:cstheme="minorHAnsi"/>
          <w:sz w:val="20"/>
          <w:szCs w:val="20"/>
        </w:rPr>
        <w:t>Mark Fajans, University of California San Francisco</w:t>
      </w:r>
    </w:p>
    <w:p w14:paraId="6E25D3A3" w14:textId="77777777" w:rsidR="00286D1B" w:rsidRDefault="004B1BBD">
      <w:pPr>
        <w:rPr>
          <w:rFonts w:eastAsia="Aptos" w:cstheme="minorHAnsi"/>
          <w:sz w:val="20"/>
        </w:rPr>
      </w:pPr>
      <w:r>
        <w:rPr>
          <w:rFonts w:eastAsia="Aptos" w:cstheme="minorHAnsi"/>
          <w:sz w:val="20"/>
        </w:rPr>
        <w:t xml:space="preserve">Email: </w:t>
      </w:r>
      <w:hyperlink r:id="rId28" w:history="1">
        <w:r>
          <w:rPr>
            <w:rStyle w:val="Hyperlink"/>
            <w:rFonts w:eastAsia="Aptos" w:cstheme="minorHAnsi"/>
            <w:sz w:val="20"/>
          </w:rPr>
          <w:t>mark.fajans@ucsf.edu</w:t>
        </w:r>
      </w:hyperlink>
    </w:p>
    <w:p w14:paraId="3C350A14" w14:textId="77777777" w:rsidR="00286D1B" w:rsidRDefault="00286D1B">
      <w:pPr>
        <w:rPr>
          <w:rFonts w:cstheme="minorHAnsi"/>
          <w:sz w:val="20"/>
          <w:szCs w:val="20"/>
        </w:rPr>
      </w:pPr>
    </w:p>
    <w:p w14:paraId="59D07077" w14:textId="77777777" w:rsidR="00286D1B" w:rsidRDefault="004B1BBD">
      <w:pPr>
        <w:rPr>
          <w:rFonts w:cstheme="minorHAnsi"/>
          <w:sz w:val="20"/>
          <w:szCs w:val="20"/>
        </w:rPr>
      </w:pPr>
      <w:r>
        <w:rPr>
          <w:rFonts w:cstheme="minorHAnsi"/>
          <w:sz w:val="20"/>
          <w:szCs w:val="20"/>
        </w:rPr>
        <w:t>Luiz, Juaneta</w:t>
      </w:r>
      <w:r>
        <w:rPr>
          <w:rFonts w:cs="Calibri (Body)"/>
          <w:sz w:val="18"/>
          <w:szCs w:val="18"/>
          <w:vertAlign w:val="superscript"/>
        </w:rPr>
        <w:t>1,2</w:t>
      </w:r>
      <w:r>
        <w:rPr>
          <w:rFonts w:cstheme="minorHAnsi"/>
          <w:sz w:val="20"/>
          <w:szCs w:val="20"/>
        </w:rPr>
        <w:t>*; Fajans, Mark</w:t>
      </w:r>
      <w:r>
        <w:rPr>
          <w:rFonts w:cs="Calibri (Body)"/>
          <w:sz w:val="18"/>
          <w:szCs w:val="18"/>
          <w:vertAlign w:val="superscript"/>
        </w:rPr>
        <w:t>3</w:t>
      </w:r>
      <w:r>
        <w:rPr>
          <w:rFonts w:cstheme="minorHAnsi"/>
          <w:sz w:val="20"/>
          <w:szCs w:val="20"/>
        </w:rPr>
        <w:t>*; Poore, Hayley</w:t>
      </w:r>
      <w:r>
        <w:rPr>
          <w:rFonts w:cs="Calibri (Body)"/>
          <w:sz w:val="18"/>
          <w:szCs w:val="18"/>
          <w:vertAlign w:val="superscript"/>
        </w:rPr>
        <w:t>3,4</w:t>
      </w:r>
      <w:r>
        <w:rPr>
          <w:rFonts w:cstheme="minorHAnsi"/>
          <w:sz w:val="20"/>
          <w:szCs w:val="20"/>
        </w:rPr>
        <w:t>; Baard, Cynthia</w:t>
      </w:r>
      <w:r>
        <w:rPr>
          <w:rFonts w:cs="Calibri (Body)"/>
          <w:sz w:val="18"/>
          <w:szCs w:val="18"/>
          <w:vertAlign w:val="superscript"/>
        </w:rPr>
        <w:t>1</w:t>
      </w:r>
      <w:r>
        <w:rPr>
          <w:rFonts w:cstheme="minorHAnsi"/>
          <w:sz w:val="20"/>
          <w:szCs w:val="20"/>
        </w:rPr>
        <w:t>; Banze, Denise</w:t>
      </w:r>
      <w:r>
        <w:rPr>
          <w:rFonts w:cs="Calibri (Body)"/>
          <w:sz w:val="18"/>
          <w:szCs w:val="18"/>
          <w:vertAlign w:val="superscript"/>
        </w:rPr>
        <w:t>5</w:t>
      </w:r>
      <w:r>
        <w:rPr>
          <w:rFonts w:cstheme="minorHAnsi"/>
          <w:sz w:val="20"/>
          <w:szCs w:val="20"/>
        </w:rPr>
        <w:t>; Van As, Kerry</w:t>
      </w:r>
      <w:r>
        <w:rPr>
          <w:rFonts w:cs="Calibri (Body)"/>
          <w:sz w:val="18"/>
          <w:szCs w:val="18"/>
          <w:vertAlign w:val="superscript"/>
        </w:rPr>
        <w:t>1,2</w:t>
      </w:r>
      <w:r>
        <w:rPr>
          <w:rFonts w:cstheme="minorHAnsi"/>
          <w:sz w:val="20"/>
          <w:szCs w:val="20"/>
        </w:rPr>
        <w:t>; Tshomela, Vuyokazi</w:t>
      </w:r>
      <w:r>
        <w:rPr>
          <w:rFonts w:cs="Calibri (Body)"/>
          <w:sz w:val="18"/>
          <w:szCs w:val="18"/>
          <w:vertAlign w:val="superscript"/>
        </w:rPr>
        <w:t>1,2</w:t>
      </w:r>
      <w:r>
        <w:rPr>
          <w:rFonts w:cstheme="minorHAnsi"/>
          <w:sz w:val="20"/>
          <w:szCs w:val="20"/>
        </w:rPr>
        <w:t>; Nakafeero, Jascent</w:t>
      </w:r>
      <w:r>
        <w:rPr>
          <w:rFonts w:cs="Calibri (Body)"/>
          <w:sz w:val="18"/>
          <w:szCs w:val="18"/>
          <w:vertAlign w:val="superscript"/>
        </w:rPr>
        <w:t>6,7</w:t>
      </w:r>
      <w:r>
        <w:rPr>
          <w:rFonts w:cstheme="minorHAnsi"/>
          <w:sz w:val="20"/>
          <w:szCs w:val="20"/>
        </w:rPr>
        <w:t>; Mutisse, Marcia</w:t>
      </w:r>
      <w:r>
        <w:rPr>
          <w:rFonts w:cs="Calibri (Body)"/>
          <w:sz w:val="18"/>
          <w:szCs w:val="18"/>
          <w:vertAlign w:val="superscript"/>
        </w:rPr>
        <w:t>5</w:t>
      </w:r>
      <w:r>
        <w:rPr>
          <w:rFonts w:cstheme="minorHAnsi"/>
          <w:sz w:val="20"/>
          <w:szCs w:val="20"/>
        </w:rPr>
        <w:t>; Wambi, Peter</w:t>
      </w:r>
      <w:r>
        <w:rPr>
          <w:rFonts w:cs="Calibri (Body)"/>
          <w:sz w:val="18"/>
          <w:szCs w:val="18"/>
          <w:vertAlign w:val="superscript"/>
        </w:rPr>
        <w:t>6,7</w:t>
      </w:r>
      <w:r>
        <w:rPr>
          <w:rFonts w:cstheme="minorHAnsi"/>
          <w:sz w:val="20"/>
          <w:szCs w:val="20"/>
        </w:rPr>
        <w:t>; Castro, Robert</w:t>
      </w:r>
      <w:r>
        <w:rPr>
          <w:rFonts w:cs="Calibri (Body)"/>
          <w:sz w:val="18"/>
          <w:szCs w:val="18"/>
          <w:vertAlign w:val="superscript"/>
        </w:rPr>
        <w:t>3</w:t>
      </w:r>
      <w:r>
        <w:rPr>
          <w:rFonts w:cstheme="minorHAnsi"/>
          <w:sz w:val="20"/>
          <w:szCs w:val="20"/>
        </w:rPr>
        <w:t>; Cook, Catherine</w:t>
      </w:r>
      <w:r>
        <w:rPr>
          <w:rFonts w:cs="Calibri (Body)"/>
          <w:sz w:val="18"/>
          <w:szCs w:val="18"/>
          <w:vertAlign w:val="superscript"/>
        </w:rPr>
        <w:t>3</w:t>
      </w:r>
      <w:r>
        <w:rPr>
          <w:rFonts w:cstheme="minorHAnsi"/>
          <w:sz w:val="20"/>
          <w:szCs w:val="20"/>
        </w:rPr>
        <w:t>; Gavin, Quinn</w:t>
      </w:r>
      <w:r>
        <w:rPr>
          <w:rFonts w:cs="Calibri (Body)"/>
          <w:sz w:val="18"/>
          <w:szCs w:val="18"/>
          <w:vertAlign w:val="superscript"/>
        </w:rPr>
        <w:t>3,4</w:t>
      </w:r>
      <w:r>
        <w:rPr>
          <w:rFonts w:cstheme="minorHAnsi"/>
          <w:sz w:val="20"/>
          <w:szCs w:val="20"/>
        </w:rPr>
        <w:t>; Narayanan, Naythra</w:t>
      </w:r>
      <w:r>
        <w:rPr>
          <w:rFonts w:cs="Calibri (Body)"/>
          <w:sz w:val="18"/>
          <w:szCs w:val="18"/>
          <w:vertAlign w:val="superscript"/>
        </w:rPr>
        <w:t>3</w:t>
      </w:r>
      <w:r>
        <w:rPr>
          <w:rFonts w:cstheme="minorHAnsi"/>
          <w:sz w:val="20"/>
          <w:szCs w:val="20"/>
        </w:rPr>
        <w:t>; Greenberg, Lauren</w:t>
      </w:r>
      <w:r>
        <w:rPr>
          <w:rFonts w:cs="Calibri (Body)"/>
          <w:sz w:val="18"/>
          <w:szCs w:val="18"/>
          <w:vertAlign w:val="superscript"/>
        </w:rPr>
        <w:t>8</w:t>
      </w:r>
      <w:r>
        <w:rPr>
          <w:rFonts w:cstheme="minorHAnsi"/>
          <w:sz w:val="20"/>
          <w:szCs w:val="20"/>
        </w:rPr>
        <w:t>; Bhatt, Nilesh</w:t>
      </w:r>
      <w:r>
        <w:rPr>
          <w:rFonts w:cs="Calibri (Body)"/>
          <w:sz w:val="18"/>
          <w:szCs w:val="18"/>
          <w:vertAlign w:val="superscript"/>
        </w:rPr>
        <w:t>8</w:t>
      </w:r>
      <w:r>
        <w:rPr>
          <w:rFonts w:cstheme="minorHAnsi"/>
          <w:sz w:val="20"/>
          <w:szCs w:val="20"/>
        </w:rPr>
        <w:t>; Khosa, Celso</w:t>
      </w:r>
      <w:r>
        <w:rPr>
          <w:rFonts w:cs="Calibri (Body)"/>
          <w:sz w:val="18"/>
          <w:szCs w:val="18"/>
          <w:vertAlign w:val="superscript"/>
        </w:rPr>
        <w:t>5</w:t>
      </w:r>
      <w:r>
        <w:rPr>
          <w:rFonts w:cstheme="minorHAnsi"/>
          <w:sz w:val="20"/>
          <w:szCs w:val="20"/>
        </w:rPr>
        <w:t>; Wobudeya, Eric</w:t>
      </w:r>
      <w:r>
        <w:rPr>
          <w:rFonts w:cs="Calibri (Body)"/>
          <w:sz w:val="18"/>
          <w:szCs w:val="18"/>
          <w:vertAlign w:val="superscript"/>
        </w:rPr>
        <w:t>6,7</w:t>
      </w:r>
      <w:r>
        <w:rPr>
          <w:rFonts w:cstheme="minorHAnsi"/>
          <w:sz w:val="20"/>
          <w:szCs w:val="20"/>
        </w:rPr>
        <w:t>; Nicol, Mark</w:t>
      </w:r>
      <w:r>
        <w:rPr>
          <w:rFonts w:cs="Calibri (Body)"/>
          <w:sz w:val="18"/>
          <w:szCs w:val="18"/>
          <w:vertAlign w:val="superscript"/>
        </w:rPr>
        <w:t>1,9</w:t>
      </w:r>
      <w:r>
        <w:rPr>
          <w:rFonts w:cstheme="minorHAnsi"/>
          <w:sz w:val="20"/>
          <w:szCs w:val="20"/>
        </w:rPr>
        <w:t>; Kerkhoff, Andrew</w:t>
      </w:r>
      <w:r>
        <w:rPr>
          <w:rFonts w:cs="Calibri (Body)"/>
          <w:sz w:val="18"/>
          <w:szCs w:val="18"/>
          <w:vertAlign w:val="superscript"/>
        </w:rPr>
        <w:t>3</w:t>
      </w:r>
      <w:r>
        <w:rPr>
          <w:rFonts w:cstheme="minorHAnsi"/>
          <w:sz w:val="20"/>
          <w:szCs w:val="20"/>
        </w:rPr>
        <w:t>; Kato-Maeda, Midori</w:t>
      </w:r>
      <w:r>
        <w:rPr>
          <w:rFonts w:cs="Calibri (Body)"/>
          <w:sz w:val="18"/>
          <w:szCs w:val="18"/>
          <w:vertAlign w:val="superscript"/>
        </w:rPr>
        <w:t>3</w:t>
      </w:r>
      <w:r>
        <w:rPr>
          <w:rFonts w:cstheme="minorHAnsi"/>
          <w:sz w:val="20"/>
          <w:szCs w:val="20"/>
        </w:rPr>
        <w:t>; Phillips, Patrick</w:t>
      </w:r>
      <w:r>
        <w:rPr>
          <w:rFonts w:cs="Calibri (Body)"/>
          <w:sz w:val="18"/>
          <w:szCs w:val="18"/>
          <w:vertAlign w:val="superscript"/>
        </w:rPr>
        <w:t>3</w:t>
      </w:r>
      <w:r>
        <w:rPr>
          <w:rFonts w:cstheme="minorHAnsi"/>
          <w:sz w:val="20"/>
          <w:szCs w:val="20"/>
        </w:rPr>
        <w:t>; Nahid, Payam</w:t>
      </w:r>
      <w:r>
        <w:rPr>
          <w:rFonts w:cs="Calibri (Body)"/>
          <w:sz w:val="18"/>
          <w:szCs w:val="18"/>
          <w:vertAlign w:val="superscript"/>
        </w:rPr>
        <w:t>3</w:t>
      </w:r>
      <w:r>
        <w:rPr>
          <w:rFonts w:cstheme="minorHAnsi"/>
          <w:sz w:val="20"/>
          <w:szCs w:val="20"/>
        </w:rPr>
        <w:t>; Denkinger, Claudia</w:t>
      </w:r>
      <w:r>
        <w:rPr>
          <w:rFonts w:cs="Calibri (Body)"/>
          <w:sz w:val="18"/>
          <w:szCs w:val="18"/>
          <w:vertAlign w:val="superscript"/>
        </w:rPr>
        <w:t>10</w:t>
      </w:r>
      <w:r>
        <w:rPr>
          <w:rFonts w:cstheme="minorHAnsi"/>
          <w:sz w:val="20"/>
          <w:szCs w:val="20"/>
        </w:rPr>
        <w:t>; Cattamanchi, Adithya</w:t>
      </w:r>
      <w:r>
        <w:rPr>
          <w:rFonts w:cs="Calibri (Body)"/>
          <w:sz w:val="18"/>
          <w:szCs w:val="18"/>
          <w:vertAlign w:val="superscript"/>
        </w:rPr>
        <w:t>3,4</w:t>
      </w:r>
      <w:r>
        <w:rPr>
          <w:rFonts w:cstheme="minorHAnsi"/>
          <w:sz w:val="20"/>
          <w:szCs w:val="20"/>
        </w:rPr>
        <w:t>; Zar, Heather</w:t>
      </w:r>
      <w:r>
        <w:rPr>
          <w:rFonts w:cs="Calibri (Body)"/>
          <w:sz w:val="18"/>
          <w:szCs w:val="18"/>
          <w:vertAlign w:val="superscript"/>
        </w:rPr>
        <w:t>1</w:t>
      </w:r>
      <w:r>
        <w:rPr>
          <w:rFonts w:cstheme="minorHAnsi"/>
          <w:sz w:val="20"/>
          <w:szCs w:val="20"/>
        </w:rPr>
        <w:t>; Jaganath, Devan</w:t>
      </w:r>
      <w:r>
        <w:rPr>
          <w:rFonts w:cs="Calibri (Body)"/>
          <w:sz w:val="18"/>
          <w:szCs w:val="18"/>
          <w:vertAlign w:val="superscript"/>
        </w:rPr>
        <w:t>3</w:t>
      </w:r>
      <w:r>
        <w:rPr>
          <w:rFonts w:cstheme="minorHAnsi"/>
          <w:sz w:val="20"/>
          <w:szCs w:val="20"/>
        </w:rPr>
        <w:t>; West, Nora</w:t>
      </w:r>
      <w:r>
        <w:rPr>
          <w:rFonts w:cs="Calibri (Body)"/>
          <w:sz w:val="18"/>
          <w:szCs w:val="18"/>
          <w:vertAlign w:val="superscript"/>
        </w:rPr>
        <w:t>3</w:t>
      </w:r>
    </w:p>
    <w:p w14:paraId="2C775ED9" w14:textId="77777777" w:rsidR="00286D1B" w:rsidRDefault="004B1BBD">
      <w:pPr>
        <w:spacing w:line="240" w:lineRule="auto"/>
        <w:contextualSpacing/>
        <w:rPr>
          <w:rFonts w:cstheme="minorHAnsi"/>
          <w:sz w:val="18"/>
          <w:szCs w:val="18"/>
        </w:rPr>
      </w:pPr>
      <w:r>
        <w:rPr>
          <w:rFonts w:cs="Calibri (Body)"/>
          <w:sz w:val="18"/>
          <w:szCs w:val="18"/>
          <w:vertAlign w:val="superscript"/>
        </w:rPr>
        <w:t>1</w:t>
      </w:r>
      <w:r>
        <w:rPr>
          <w:rFonts w:cstheme="minorHAnsi"/>
          <w:sz w:val="18"/>
          <w:szCs w:val="18"/>
        </w:rPr>
        <w:t xml:space="preserve"> University of Cape Town, Cape Town, South Africa.</w:t>
      </w:r>
    </w:p>
    <w:p w14:paraId="7A7E6798" w14:textId="77777777" w:rsidR="00286D1B" w:rsidRDefault="004B1BBD">
      <w:pPr>
        <w:spacing w:line="240" w:lineRule="auto"/>
        <w:contextualSpacing/>
        <w:rPr>
          <w:rFonts w:cstheme="minorHAnsi"/>
          <w:sz w:val="18"/>
          <w:szCs w:val="18"/>
        </w:rPr>
      </w:pPr>
      <w:r>
        <w:rPr>
          <w:rFonts w:cs="Calibri (Body)"/>
          <w:sz w:val="18"/>
          <w:szCs w:val="18"/>
          <w:vertAlign w:val="superscript"/>
        </w:rPr>
        <w:t>2</w:t>
      </w:r>
      <w:r>
        <w:rPr>
          <w:rFonts w:cstheme="minorHAnsi"/>
          <w:sz w:val="18"/>
          <w:szCs w:val="18"/>
        </w:rPr>
        <w:t xml:space="preserve"> Dora Nginza Hospital, Gqeberha, South Africa.</w:t>
      </w:r>
    </w:p>
    <w:p w14:paraId="5E593E55" w14:textId="77777777" w:rsidR="00286D1B" w:rsidRDefault="004B1BBD">
      <w:pPr>
        <w:spacing w:line="240" w:lineRule="auto"/>
        <w:contextualSpacing/>
        <w:rPr>
          <w:rFonts w:cstheme="minorHAnsi"/>
          <w:sz w:val="18"/>
          <w:szCs w:val="18"/>
        </w:rPr>
      </w:pPr>
      <w:r>
        <w:rPr>
          <w:rFonts w:cs="Calibri (Body)"/>
          <w:sz w:val="18"/>
          <w:szCs w:val="18"/>
          <w:vertAlign w:val="superscript"/>
        </w:rPr>
        <w:t>3</w:t>
      </w:r>
      <w:r>
        <w:rPr>
          <w:rFonts w:cstheme="minorHAnsi"/>
          <w:sz w:val="18"/>
          <w:szCs w:val="18"/>
        </w:rPr>
        <w:t xml:space="preserve"> University of California San Francisco, San Francisco, California</w:t>
      </w:r>
    </w:p>
    <w:p w14:paraId="20B93658" w14:textId="77777777" w:rsidR="00286D1B" w:rsidRDefault="004B1BBD">
      <w:pPr>
        <w:spacing w:line="240" w:lineRule="auto"/>
        <w:contextualSpacing/>
        <w:rPr>
          <w:rFonts w:cstheme="minorHAnsi"/>
          <w:sz w:val="18"/>
          <w:szCs w:val="18"/>
        </w:rPr>
      </w:pPr>
      <w:r>
        <w:rPr>
          <w:rFonts w:cs="Calibri (Body)"/>
          <w:sz w:val="18"/>
          <w:szCs w:val="18"/>
          <w:vertAlign w:val="superscript"/>
        </w:rPr>
        <w:t>4</w:t>
      </w:r>
      <w:r>
        <w:rPr>
          <w:rFonts w:cstheme="minorHAnsi"/>
          <w:sz w:val="18"/>
          <w:szCs w:val="18"/>
        </w:rPr>
        <w:t xml:space="preserve"> University of California Irvine, Irvine, California</w:t>
      </w:r>
    </w:p>
    <w:p w14:paraId="7C66A448" w14:textId="77777777" w:rsidR="00286D1B" w:rsidRDefault="004B1BBD">
      <w:pPr>
        <w:spacing w:line="240" w:lineRule="auto"/>
        <w:contextualSpacing/>
        <w:rPr>
          <w:rFonts w:cstheme="minorHAnsi"/>
          <w:sz w:val="18"/>
          <w:szCs w:val="18"/>
        </w:rPr>
      </w:pPr>
      <w:r>
        <w:rPr>
          <w:rFonts w:cs="Calibri (Body)"/>
          <w:sz w:val="18"/>
          <w:szCs w:val="18"/>
          <w:vertAlign w:val="superscript"/>
        </w:rPr>
        <w:t>5</w:t>
      </w:r>
      <w:r>
        <w:rPr>
          <w:rFonts w:cstheme="minorHAnsi"/>
          <w:sz w:val="18"/>
          <w:szCs w:val="18"/>
        </w:rPr>
        <w:t xml:space="preserve"> Instituto Nacional de Saúde (INS), Marracuene, Mozambique</w:t>
      </w:r>
    </w:p>
    <w:p w14:paraId="08B967F4" w14:textId="77777777" w:rsidR="00286D1B" w:rsidRDefault="004B1BBD">
      <w:pPr>
        <w:spacing w:line="240" w:lineRule="auto"/>
        <w:contextualSpacing/>
        <w:rPr>
          <w:rFonts w:cstheme="minorHAnsi"/>
          <w:sz w:val="18"/>
          <w:szCs w:val="18"/>
        </w:rPr>
      </w:pPr>
      <w:r>
        <w:rPr>
          <w:rFonts w:cs="Calibri (Body)"/>
          <w:sz w:val="18"/>
          <w:szCs w:val="18"/>
          <w:vertAlign w:val="superscript"/>
        </w:rPr>
        <w:t>6</w:t>
      </w:r>
      <w:r>
        <w:rPr>
          <w:rFonts w:cstheme="minorHAnsi"/>
          <w:sz w:val="18"/>
          <w:szCs w:val="18"/>
        </w:rPr>
        <w:t xml:space="preserve"> World Alliance for Lung and Intensive Care Medicine in Uganda, Kampala, Uganda</w:t>
      </w:r>
    </w:p>
    <w:p w14:paraId="4BD5B09D" w14:textId="77777777" w:rsidR="00286D1B" w:rsidRDefault="004B1BBD">
      <w:pPr>
        <w:spacing w:line="240" w:lineRule="auto"/>
        <w:contextualSpacing/>
        <w:rPr>
          <w:rFonts w:cstheme="minorHAnsi"/>
          <w:sz w:val="18"/>
          <w:szCs w:val="18"/>
        </w:rPr>
      </w:pPr>
      <w:r>
        <w:rPr>
          <w:rFonts w:cs="Calibri (Body)"/>
          <w:sz w:val="18"/>
          <w:szCs w:val="18"/>
          <w:vertAlign w:val="superscript"/>
        </w:rPr>
        <w:t>7</w:t>
      </w:r>
      <w:r>
        <w:rPr>
          <w:rFonts w:cstheme="minorHAnsi"/>
          <w:sz w:val="18"/>
          <w:szCs w:val="18"/>
        </w:rPr>
        <w:t xml:space="preserve"> Mulago National Referral Hospital, Kampala, Uganda</w:t>
      </w:r>
    </w:p>
    <w:p w14:paraId="5FE560FB" w14:textId="77777777" w:rsidR="00286D1B" w:rsidRDefault="004B1BBD">
      <w:pPr>
        <w:spacing w:line="240" w:lineRule="auto"/>
        <w:contextualSpacing/>
        <w:rPr>
          <w:rFonts w:cstheme="minorHAnsi"/>
          <w:sz w:val="18"/>
          <w:szCs w:val="18"/>
        </w:rPr>
      </w:pPr>
      <w:r>
        <w:rPr>
          <w:rFonts w:cs="Calibri (Body)"/>
          <w:sz w:val="18"/>
          <w:szCs w:val="18"/>
          <w:vertAlign w:val="superscript"/>
        </w:rPr>
        <w:t>8</w:t>
      </w:r>
      <w:r>
        <w:rPr>
          <w:rFonts w:cstheme="minorHAnsi"/>
          <w:sz w:val="18"/>
          <w:szCs w:val="18"/>
        </w:rPr>
        <w:t xml:space="preserve"> Elizabeth Glaser Pediatric AIDS Foundation, Washington, DC</w:t>
      </w:r>
    </w:p>
    <w:p w14:paraId="7DC6773D" w14:textId="77777777" w:rsidR="00286D1B" w:rsidRDefault="004B1BBD">
      <w:pPr>
        <w:spacing w:line="240" w:lineRule="auto"/>
        <w:contextualSpacing/>
        <w:rPr>
          <w:rFonts w:cstheme="minorHAnsi"/>
          <w:sz w:val="18"/>
          <w:szCs w:val="18"/>
        </w:rPr>
      </w:pPr>
      <w:r>
        <w:rPr>
          <w:rFonts w:cs="Calibri (Body)"/>
          <w:sz w:val="18"/>
          <w:szCs w:val="18"/>
          <w:vertAlign w:val="superscript"/>
        </w:rPr>
        <w:t>9</w:t>
      </w:r>
      <w:r>
        <w:rPr>
          <w:rFonts w:cstheme="minorHAnsi"/>
          <w:sz w:val="18"/>
          <w:szCs w:val="18"/>
        </w:rPr>
        <w:t xml:space="preserve"> University of Western Australia, Perth, Australia</w:t>
      </w:r>
    </w:p>
    <w:p w14:paraId="41D95B3E" w14:textId="77777777" w:rsidR="00286D1B" w:rsidRDefault="004B1BBD">
      <w:pPr>
        <w:spacing w:line="240" w:lineRule="auto"/>
        <w:contextualSpacing/>
        <w:rPr>
          <w:rFonts w:cstheme="minorHAnsi"/>
          <w:sz w:val="18"/>
          <w:szCs w:val="18"/>
        </w:rPr>
      </w:pPr>
      <w:r>
        <w:rPr>
          <w:rFonts w:cs="Calibri (Body)"/>
          <w:sz w:val="18"/>
          <w:szCs w:val="18"/>
          <w:vertAlign w:val="superscript"/>
        </w:rPr>
        <w:t>10</w:t>
      </w:r>
      <w:r>
        <w:rPr>
          <w:rFonts w:cstheme="minorHAnsi"/>
          <w:sz w:val="18"/>
          <w:szCs w:val="18"/>
        </w:rPr>
        <w:t xml:space="preserve"> University Hospital of Heidelberg, Heidelberg, Germany</w:t>
      </w:r>
    </w:p>
    <w:p w14:paraId="4A8E2B92" w14:textId="77777777" w:rsidR="00286D1B" w:rsidRDefault="004B1BBD">
      <w:pPr>
        <w:spacing w:line="240" w:lineRule="auto"/>
        <w:contextualSpacing/>
        <w:rPr>
          <w:rFonts w:cstheme="minorHAnsi"/>
          <w:sz w:val="18"/>
          <w:szCs w:val="18"/>
        </w:rPr>
      </w:pPr>
      <w:r>
        <w:rPr>
          <w:rFonts w:cstheme="minorHAnsi"/>
          <w:sz w:val="18"/>
          <w:szCs w:val="18"/>
        </w:rPr>
        <w:t>* Co-first authors</w:t>
      </w:r>
    </w:p>
    <w:p w14:paraId="4B2A55E8" w14:textId="77777777" w:rsidR="00286D1B" w:rsidRDefault="00286D1B">
      <w:pPr>
        <w:rPr>
          <w:rFonts w:cstheme="minorHAnsi"/>
          <w:sz w:val="20"/>
          <w:szCs w:val="20"/>
        </w:rPr>
      </w:pPr>
    </w:p>
    <w:p w14:paraId="322E8544" w14:textId="77777777" w:rsidR="00286D1B" w:rsidRDefault="004B1BBD">
      <w:pPr>
        <w:rPr>
          <w:rFonts w:cstheme="minorHAnsi"/>
          <w:sz w:val="20"/>
          <w:szCs w:val="20"/>
        </w:rPr>
      </w:pPr>
      <w:r>
        <w:rPr>
          <w:rFonts w:cstheme="minorHAnsi"/>
          <w:b/>
          <w:bCs/>
          <w:sz w:val="20"/>
          <w:szCs w:val="20"/>
        </w:rPr>
        <w:t>Background:</w:t>
      </w:r>
      <w:r>
        <w:rPr>
          <w:rFonts w:cstheme="minorHAnsi"/>
          <w:sz w:val="20"/>
          <w:szCs w:val="20"/>
        </w:rPr>
        <w:t xml:space="preserve"> The World Health Organization recently recommended the use of tongue swabs for the initial detection of TB among adults and adolescents unable to produce sputum. Tongue swab use in pediatric populations could increase access to tuberculosis (TB) testing for children. However, child and caregiver experiences and preferences compared to sputum have not been studied.</w:t>
      </w:r>
    </w:p>
    <w:p w14:paraId="3DBB4F54" w14:textId="77777777" w:rsidR="00286D1B" w:rsidRDefault="004B1BBD">
      <w:pPr>
        <w:rPr>
          <w:rFonts w:cstheme="minorHAnsi"/>
          <w:sz w:val="20"/>
          <w:szCs w:val="20"/>
        </w:rPr>
      </w:pPr>
      <w:r>
        <w:rPr>
          <w:rFonts w:cstheme="minorHAnsi"/>
          <w:b/>
          <w:bCs/>
          <w:sz w:val="20"/>
          <w:szCs w:val="20"/>
        </w:rPr>
        <w:t>Methods:</w:t>
      </w:r>
      <w:r>
        <w:rPr>
          <w:rFonts w:cstheme="minorHAnsi"/>
          <w:sz w:val="20"/>
          <w:szCs w:val="20"/>
        </w:rPr>
        <w:t xml:space="preserve"> We prospectively enrolled children (&lt;15 years) with presumptive pulmonary TB in Mozambique, South Africa, and Uganda (June 2025-March 2026). Tongue swabs and sputum (expectorated sputum with/without </w:t>
      </w:r>
      <w:proofErr w:type="gramStart"/>
      <w:r>
        <w:rPr>
          <w:rFonts w:cstheme="minorHAnsi"/>
          <w:sz w:val="20"/>
          <w:szCs w:val="20"/>
        </w:rPr>
        <w:t>induction, or</w:t>
      </w:r>
      <w:proofErr w:type="gramEnd"/>
      <w:r>
        <w:rPr>
          <w:rFonts w:cstheme="minorHAnsi"/>
          <w:sz w:val="20"/>
          <w:szCs w:val="20"/>
        </w:rPr>
        <w:t xml:space="preserve"> aspirated with induction) were collected for molecular testing. Standardized structured surveys were administered to children and caregivers to compare experiences and preferences by specimen type.</w:t>
      </w:r>
    </w:p>
    <w:p w14:paraId="55DF2A3F" w14:textId="77777777" w:rsidR="00286D1B" w:rsidRDefault="004B1BBD">
      <w:pPr>
        <w:rPr>
          <w:rFonts w:cstheme="minorHAnsi"/>
          <w:sz w:val="20"/>
          <w:szCs w:val="20"/>
        </w:rPr>
      </w:pPr>
      <w:r>
        <w:rPr>
          <w:rFonts w:cstheme="minorHAnsi"/>
          <w:b/>
          <w:bCs/>
          <w:sz w:val="20"/>
          <w:szCs w:val="20"/>
        </w:rPr>
        <w:t>Results:</w:t>
      </w:r>
      <w:r>
        <w:rPr>
          <w:rFonts w:cstheme="minorHAnsi"/>
          <w:sz w:val="20"/>
          <w:szCs w:val="20"/>
        </w:rPr>
        <w:t xml:space="preserve"> Of 301 children, the median age was 4 years (IQR: 1-8), 51% were female, and 8% living with HIV. Tongue swabs were successfully collected from 99.7% of children, and sputum from 98%. Surveys were collected from 80% (105/132) of children &gt;4 years of age and all caregivers (n=301). Discomfort with swabbing was reported by 1% of children and perceived by 12% (35/288) of caregivers, compared to sputum amongst children (expectorated: 29% [15/52, p&lt;0.001], aspirated: 46% [25/54, p &lt;0.001]) and caregivers (expectorated: 19% [13/67, p =0.18], aspirated: 57% [127/222, p &lt;0.001]). Pain with swabs was infrequent for children (9%; 9/103) and caregivers (9%; 27/288), compared to sputum for children (expectorated: 29% [15/52, p&lt;0.001], aspirated: 91% [49/54, p&lt;0.001]) and caregivers (expectorated: 22% [15/67, p=0.02], aspirated: 91% [201/222, p&lt;0.001]). Most children (86%; 90/105) and caregivers (81%; 239/295) reported swabs as easier to provide than sputum. Swabs were preferred by children (87%) and caregivers (64%), however, 68% and 92% respectively, would prefer the alternate sample if it improved test accuracy.</w:t>
      </w:r>
    </w:p>
    <w:p w14:paraId="6D649FD4" w14:textId="77777777" w:rsidR="00286D1B" w:rsidRDefault="004B1BBD">
      <w:pPr>
        <w:rPr>
          <w:rFonts w:cstheme="minorHAnsi"/>
          <w:sz w:val="20"/>
          <w:szCs w:val="20"/>
        </w:rPr>
      </w:pPr>
      <w:r>
        <w:rPr>
          <w:rFonts w:cstheme="minorHAnsi"/>
          <w:b/>
          <w:bCs/>
          <w:sz w:val="20"/>
          <w:szCs w:val="20"/>
        </w:rPr>
        <w:t>Conclusion:</w:t>
      </w:r>
      <w:r>
        <w:rPr>
          <w:rFonts w:cstheme="minorHAnsi"/>
          <w:sz w:val="20"/>
          <w:szCs w:val="20"/>
        </w:rPr>
        <w:t xml:space="preserve"> For children and caregivers, tongue swabs were acceptable, easier to collect, and less painful/uncomfortable compared to sputum. However, both children and caregivers would prefer the collection method with the higher test accuracy.</w:t>
      </w:r>
    </w:p>
    <w:p w14:paraId="48548C44" w14:textId="77777777" w:rsidR="00691E24" w:rsidRDefault="00691E24">
      <w:pPr>
        <w:rPr>
          <w:rFonts w:eastAsia="Times New Roman"/>
          <w:color w:val="000000" w:themeColor="text1"/>
          <w:sz w:val="24"/>
          <w:szCs w:val="24"/>
        </w:rPr>
      </w:pPr>
      <w:r>
        <w:rPr>
          <w:rFonts w:eastAsia="Times New Roman"/>
        </w:rPr>
        <w:lastRenderedPageBreak/>
        <w:br w:type="page"/>
      </w:r>
    </w:p>
    <w:p w14:paraId="6E95D71B" w14:textId="77777777" w:rsidR="00286D1B" w:rsidRDefault="004B1BBD">
      <w:pPr>
        <w:pStyle w:val="Heading2"/>
        <w:rPr>
          <w:rFonts w:asciiTheme="minorHAnsi" w:eastAsia="Times New Roman" w:hAnsiTheme="minorHAnsi" w:cstheme="minorBidi"/>
        </w:rPr>
      </w:pPr>
      <w:bookmarkStart w:id="23" w:name="_Toc238729451"/>
      <w:r>
        <w:rPr>
          <w:rFonts w:asciiTheme="minorHAnsi" w:eastAsia="Times New Roman" w:hAnsiTheme="minorHAnsi" w:cstheme="minorBidi"/>
        </w:rPr>
        <w:lastRenderedPageBreak/>
        <w:t>PP-10: Caldwell Feid, UCSF</w:t>
      </w:r>
      <w:bookmarkEnd w:id="23"/>
    </w:p>
    <w:p w14:paraId="056A0ED0" w14:textId="77777777" w:rsidR="00286D1B" w:rsidRDefault="00286D1B">
      <w:pPr>
        <w:rPr>
          <w:rFonts w:cstheme="minorHAnsi"/>
          <w:sz w:val="20"/>
          <w:szCs w:val="20"/>
        </w:rPr>
      </w:pPr>
    </w:p>
    <w:p w14:paraId="50C6F989" w14:textId="77777777" w:rsidR="00286D1B" w:rsidRDefault="004B1BBD">
      <w:pPr>
        <w:rPr>
          <w:rFonts w:cstheme="minorHAnsi"/>
          <w:sz w:val="24"/>
          <w:szCs w:val="24"/>
        </w:rPr>
      </w:pPr>
      <w:r>
        <w:rPr>
          <w:rFonts w:cstheme="minorHAnsi"/>
          <w:b/>
          <w:bCs/>
          <w:sz w:val="24"/>
          <w:szCs w:val="24"/>
        </w:rPr>
        <w:t>The contribution of specific ribosome proteins to the level of leaderless mRNA translation differs between E. coli and Mycobacteria</w:t>
      </w:r>
    </w:p>
    <w:p w14:paraId="7C5FCA8B" w14:textId="77777777" w:rsidR="00286D1B" w:rsidRDefault="004B1BBD">
      <w:pPr>
        <w:rPr>
          <w:rFonts w:cstheme="minorHAnsi"/>
          <w:sz w:val="20"/>
          <w:szCs w:val="20"/>
        </w:rPr>
      </w:pPr>
      <w:r>
        <w:rPr>
          <w:rFonts w:cstheme="minorHAnsi"/>
          <w:sz w:val="20"/>
          <w:szCs w:val="20"/>
        </w:rPr>
        <w:t>Caldwell Feid, UCSF</w:t>
      </w:r>
    </w:p>
    <w:p w14:paraId="01EA252B" w14:textId="77777777" w:rsidR="00286D1B" w:rsidRDefault="004B1BBD">
      <w:pPr>
        <w:rPr>
          <w:rFonts w:eastAsia="Aptos" w:cstheme="minorHAnsi"/>
          <w:sz w:val="20"/>
        </w:rPr>
      </w:pPr>
      <w:r>
        <w:rPr>
          <w:rFonts w:eastAsia="Aptos" w:cstheme="minorHAnsi"/>
          <w:sz w:val="20"/>
        </w:rPr>
        <w:t xml:space="preserve">Email: </w:t>
      </w:r>
      <w:hyperlink r:id="rId29" w:history="1">
        <w:r>
          <w:rPr>
            <w:rStyle w:val="Hyperlink"/>
            <w:rFonts w:eastAsia="Aptos" w:cstheme="minorHAnsi"/>
            <w:sz w:val="20"/>
          </w:rPr>
          <w:t>sarah.feid@ucsf.edu</w:t>
        </w:r>
      </w:hyperlink>
    </w:p>
    <w:p w14:paraId="0EA0A10A" w14:textId="77777777" w:rsidR="00286D1B" w:rsidRDefault="00286D1B">
      <w:pPr>
        <w:rPr>
          <w:rFonts w:cstheme="minorHAnsi"/>
          <w:sz w:val="20"/>
          <w:szCs w:val="20"/>
        </w:rPr>
      </w:pPr>
    </w:p>
    <w:p w14:paraId="434EBBE0" w14:textId="77777777" w:rsidR="00286D1B" w:rsidRDefault="004B1BBD">
      <w:pPr>
        <w:rPr>
          <w:rFonts w:cstheme="minorHAnsi"/>
          <w:sz w:val="20"/>
          <w:szCs w:val="20"/>
        </w:rPr>
      </w:pPr>
      <w:r>
        <w:rPr>
          <w:rFonts w:cstheme="minorHAnsi"/>
          <w:sz w:val="20"/>
          <w:szCs w:val="20"/>
        </w:rPr>
        <w:t>Feid, Sarah C; Javid, Babak</w:t>
      </w:r>
    </w:p>
    <w:p w14:paraId="3E8A568B" w14:textId="77777777" w:rsidR="00286D1B" w:rsidRDefault="004B1BBD">
      <w:pPr>
        <w:spacing w:line="240" w:lineRule="auto"/>
        <w:contextualSpacing/>
        <w:rPr>
          <w:rFonts w:cstheme="minorHAnsi"/>
          <w:sz w:val="18"/>
          <w:szCs w:val="18"/>
        </w:rPr>
      </w:pPr>
      <w:r>
        <w:rPr>
          <w:rFonts w:cstheme="minorHAnsi"/>
          <w:sz w:val="18"/>
          <w:szCs w:val="18"/>
        </w:rPr>
        <w:t>University of California San Francisco, San Francisco, California</w:t>
      </w:r>
    </w:p>
    <w:p w14:paraId="5C26E7FD" w14:textId="77777777" w:rsidR="00286D1B" w:rsidRDefault="00286D1B">
      <w:pPr>
        <w:rPr>
          <w:rFonts w:cstheme="minorHAnsi"/>
          <w:sz w:val="20"/>
          <w:szCs w:val="20"/>
        </w:rPr>
      </w:pPr>
    </w:p>
    <w:p w14:paraId="5B9EB86A" w14:textId="77777777" w:rsidR="00286D1B" w:rsidRDefault="004B1BBD">
      <w:pPr>
        <w:rPr>
          <w:rFonts w:cstheme="minorHAnsi"/>
          <w:sz w:val="20"/>
          <w:szCs w:val="20"/>
        </w:rPr>
      </w:pPr>
      <w:r>
        <w:rPr>
          <w:rFonts w:cstheme="minorHAnsi"/>
          <w:sz w:val="20"/>
          <w:szCs w:val="20"/>
        </w:rPr>
        <w:t xml:space="preserve">The existence of leaderless mRNAs (lmRNA), mRNA without the 5’UTR initiation site, is well documented. What little is known about the translation of lmRNAs comes primarily from studies of a single lmRNA </w:t>
      </w:r>
      <w:proofErr w:type="gramStart"/>
      <w:r>
        <w:rPr>
          <w:rFonts w:cstheme="minorHAnsi"/>
          <w:sz w:val="20"/>
          <w:szCs w:val="20"/>
        </w:rPr>
        <w:t>–  coding</w:t>
      </w:r>
      <w:proofErr w:type="gramEnd"/>
      <w:r>
        <w:rPr>
          <w:rFonts w:cstheme="minorHAnsi"/>
          <w:sz w:val="20"/>
          <w:szCs w:val="20"/>
        </w:rPr>
        <w:t xml:space="preserve"> for the lambda cl phage transcript </w:t>
      </w:r>
      <w:proofErr w:type="gramStart"/>
      <w:r>
        <w:rPr>
          <w:rFonts w:cstheme="minorHAnsi"/>
          <w:sz w:val="20"/>
          <w:szCs w:val="20"/>
        </w:rPr>
        <w:t>–  in</w:t>
      </w:r>
      <w:proofErr w:type="gramEnd"/>
      <w:r>
        <w:rPr>
          <w:rFonts w:cstheme="minorHAnsi"/>
          <w:sz w:val="20"/>
          <w:szCs w:val="20"/>
        </w:rPr>
        <w:t xml:space="preserve"> Escherichia coli. However, E. coli encodes very few lmRNAs (&lt;1% of mRNAs), suggesting this type of translation is not a regular part of its life cycle. In contrast, lmRNA makes up roughly 25% of mycobacterial mRNAs, suggesting this type of translation is a normal process for these bacteria. By creating a pair of orthogonal leaderless translation reporters, in combination with CRISPRi constructs to knock down genes known or speculated to be relevant for lmRNA translation, I am developing Mycobacterium smegmatis as a model of lmRNA translation. While the role of highly conserved translation factors like IF2 appears similar between M. smegmatis and E. coli, the relationship between lmRNA translation and other understood protein requirements diverges. Losing ribosome proteins bS1 and uS2 is known to enhance lmRNA translation in E. coli, yet knockdown of either protein in M. smegmatis impairs lmRNA translation. This suggests a difference between ribosomes in organisms that regularly engage in lmRNA translation and ribosomes in organisms that do not. To further characterize lmRNA translation in M. smegmatis, I have screened a series of targeted CRISPRi knockdowns, discovering new translation associated proteins with an impact on leaderless translation and am agnostically screening a whole genome library of CRISPRi knockdowns to identify additional knockdowns that impair lmRNA translation. Further investigations will include biochemical initiation assays, ribosome profiling, and expanding experiments to include the global pathogen M. tuberculosis.</w:t>
      </w:r>
    </w:p>
    <w:p w14:paraId="73159CBC" w14:textId="77777777" w:rsidR="00691E24" w:rsidRDefault="00691E24">
      <w:pPr>
        <w:rPr>
          <w:rFonts w:eastAsia="Times New Roman"/>
          <w:color w:val="000000" w:themeColor="text1"/>
          <w:sz w:val="24"/>
          <w:szCs w:val="24"/>
        </w:rPr>
      </w:pPr>
      <w:r>
        <w:rPr>
          <w:rFonts w:eastAsia="Times New Roman"/>
        </w:rPr>
        <w:br w:type="page"/>
      </w:r>
    </w:p>
    <w:p w14:paraId="1F2ADD86" w14:textId="77777777" w:rsidR="00286D1B" w:rsidRDefault="004B1BBD">
      <w:pPr>
        <w:pStyle w:val="Heading2"/>
        <w:rPr>
          <w:rFonts w:asciiTheme="minorHAnsi" w:eastAsia="Times New Roman" w:hAnsiTheme="minorHAnsi" w:cstheme="minorBidi"/>
        </w:rPr>
      </w:pPr>
      <w:bookmarkStart w:id="24" w:name="_Toc238729452"/>
      <w:r>
        <w:rPr>
          <w:rFonts w:asciiTheme="minorHAnsi" w:eastAsia="Times New Roman" w:hAnsiTheme="minorHAnsi" w:cstheme="minorBidi"/>
        </w:rPr>
        <w:lastRenderedPageBreak/>
        <w:t>PP-11: Fei Gao, Stanford University</w:t>
      </w:r>
      <w:bookmarkEnd w:id="24"/>
    </w:p>
    <w:p w14:paraId="4A810F82" w14:textId="77777777" w:rsidR="00286D1B" w:rsidRDefault="00286D1B">
      <w:pPr>
        <w:rPr>
          <w:rFonts w:cstheme="minorHAnsi"/>
          <w:sz w:val="20"/>
          <w:szCs w:val="20"/>
        </w:rPr>
      </w:pPr>
    </w:p>
    <w:p w14:paraId="543CC00C" w14:textId="77777777" w:rsidR="00286D1B" w:rsidRDefault="004B1BBD">
      <w:pPr>
        <w:rPr>
          <w:rFonts w:cstheme="minorHAnsi"/>
          <w:sz w:val="24"/>
          <w:szCs w:val="24"/>
        </w:rPr>
      </w:pPr>
      <w:r>
        <w:rPr>
          <w:rFonts w:cstheme="minorHAnsi"/>
          <w:b/>
          <w:bCs/>
          <w:sz w:val="24"/>
          <w:szCs w:val="24"/>
        </w:rPr>
        <w:t>Evidence that Mycobacterium tuberculosis exposure subverts human T cell responses</w:t>
      </w:r>
    </w:p>
    <w:p w14:paraId="39A073B0" w14:textId="77777777" w:rsidR="00286D1B" w:rsidRDefault="004B1BBD">
      <w:pPr>
        <w:rPr>
          <w:rFonts w:cstheme="minorHAnsi"/>
          <w:sz w:val="20"/>
          <w:szCs w:val="20"/>
        </w:rPr>
      </w:pPr>
      <w:r>
        <w:rPr>
          <w:rFonts w:cstheme="minorHAnsi"/>
          <w:sz w:val="20"/>
          <w:szCs w:val="20"/>
        </w:rPr>
        <w:t>Fei Gao, Stanford University</w:t>
      </w:r>
    </w:p>
    <w:p w14:paraId="5B82ECEB" w14:textId="77777777" w:rsidR="00286D1B" w:rsidRDefault="004B1BBD">
      <w:pPr>
        <w:rPr>
          <w:rFonts w:eastAsia="Aptos" w:cstheme="minorHAnsi"/>
          <w:sz w:val="20"/>
        </w:rPr>
      </w:pPr>
      <w:r>
        <w:rPr>
          <w:rFonts w:eastAsia="Aptos" w:cstheme="minorHAnsi"/>
          <w:sz w:val="20"/>
        </w:rPr>
        <w:t xml:space="preserve">Email: </w:t>
      </w:r>
      <w:hyperlink r:id="rId30" w:history="1">
        <w:r>
          <w:rPr>
            <w:rStyle w:val="Hyperlink"/>
            <w:rFonts w:eastAsia="Aptos" w:cstheme="minorHAnsi"/>
            <w:sz w:val="20"/>
          </w:rPr>
          <w:t>feigao94@stanford.edu</w:t>
        </w:r>
      </w:hyperlink>
    </w:p>
    <w:p w14:paraId="48C7E63C" w14:textId="77777777" w:rsidR="00286D1B" w:rsidRDefault="00286D1B">
      <w:pPr>
        <w:rPr>
          <w:rFonts w:cstheme="minorHAnsi"/>
          <w:sz w:val="20"/>
          <w:szCs w:val="20"/>
        </w:rPr>
      </w:pPr>
    </w:p>
    <w:p w14:paraId="37D87718" w14:textId="77777777" w:rsidR="00286D1B" w:rsidRDefault="004B1BBD">
      <w:pPr>
        <w:rPr>
          <w:rFonts w:cstheme="minorHAnsi"/>
          <w:sz w:val="20"/>
          <w:szCs w:val="20"/>
        </w:rPr>
      </w:pPr>
      <w:r>
        <w:rPr>
          <w:rFonts w:cstheme="minorHAnsi"/>
          <w:sz w:val="20"/>
          <w:szCs w:val="20"/>
        </w:rPr>
        <w:t>Fei Gao</w:t>
      </w:r>
      <w:r>
        <w:rPr>
          <w:rFonts w:cs="Calibri (Body)"/>
          <w:sz w:val="18"/>
          <w:szCs w:val="18"/>
          <w:vertAlign w:val="superscript"/>
        </w:rPr>
        <w:t>1</w:t>
      </w:r>
      <w:r>
        <w:rPr>
          <w:rFonts w:cstheme="minorHAnsi"/>
          <w:sz w:val="20"/>
          <w:szCs w:val="20"/>
        </w:rPr>
        <w:t>; Chunlin Wang</w:t>
      </w:r>
      <w:r>
        <w:rPr>
          <w:rFonts w:cs="Calibri (Body)"/>
          <w:sz w:val="18"/>
          <w:szCs w:val="18"/>
          <w:vertAlign w:val="superscript"/>
        </w:rPr>
        <w:t>1</w:t>
      </w:r>
      <w:r>
        <w:rPr>
          <w:rFonts w:cstheme="minorHAnsi"/>
          <w:sz w:val="20"/>
          <w:szCs w:val="20"/>
        </w:rPr>
        <w:t>; Huang Huang</w:t>
      </w:r>
      <w:r>
        <w:rPr>
          <w:rFonts w:cs="Calibri (Body)"/>
          <w:sz w:val="18"/>
          <w:szCs w:val="18"/>
          <w:vertAlign w:val="superscript"/>
        </w:rPr>
        <w:t>1</w:t>
      </w:r>
      <w:r>
        <w:rPr>
          <w:rFonts w:cstheme="minorHAnsi"/>
          <w:sz w:val="20"/>
          <w:szCs w:val="20"/>
        </w:rPr>
        <w:t>; Qiong Xia</w:t>
      </w:r>
      <w:r>
        <w:rPr>
          <w:rFonts w:cs="Calibri (Body)"/>
          <w:sz w:val="18"/>
          <w:szCs w:val="18"/>
          <w:vertAlign w:val="superscript"/>
        </w:rPr>
        <w:t>1</w:t>
      </w:r>
      <w:r>
        <w:rPr>
          <w:rFonts w:cstheme="minorHAnsi"/>
          <w:sz w:val="20"/>
          <w:szCs w:val="20"/>
        </w:rPr>
        <w:t>; Debbie Cross</w:t>
      </w:r>
      <w:r>
        <w:rPr>
          <w:rFonts w:cs="Calibri (Body)"/>
          <w:sz w:val="18"/>
          <w:szCs w:val="18"/>
          <w:vertAlign w:val="superscript"/>
        </w:rPr>
        <w:t>2</w:t>
      </w:r>
      <w:r>
        <w:rPr>
          <w:rFonts w:cstheme="minorHAnsi"/>
          <w:sz w:val="20"/>
          <w:szCs w:val="20"/>
        </w:rPr>
        <w:t>; Meng Sun</w:t>
      </w:r>
      <w:r>
        <w:rPr>
          <w:rFonts w:cs="Calibri (Body)"/>
          <w:sz w:val="18"/>
          <w:szCs w:val="18"/>
          <w:vertAlign w:val="superscript"/>
        </w:rPr>
        <w:t>1</w:t>
      </w:r>
      <w:r>
        <w:rPr>
          <w:rFonts w:cstheme="minorHAnsi"/>
          <w:sz w:val="20"/>
          <w:szCs w:val="20"/>
        </w:rPr>
        <w:t>; Florian Bach</w:t>
      </w:r>
      <w:r>
        <w:rPr>
          <w:rFonts w:cs="Calibri (Body)"/>
          <w:sz w:val="18"/>
          <w:szCs w:val="18"/>
          <w:vertAlign w:val="superscript"/>
        </w:rPr>
        <w:t>3</w:t>
      </w:r>
      <w:r>
        <w:rPr>
          <w:rFonts w:cstheme="minorHAnsi"/>
          <w:sz w:val="20"/>
          <w:szCs w:val="20"/>
        </w:rPr>
        <w:t>; Munyaradzi Musvosvi</w:t>
      </w:r>
      <w:r>
        <w:rPr>
          <w:rFonts w:cs="Calibri (Body)"/>
          <w:sz w:val="18"/>
          <w:szCs w:val="18"/>
          <w:vertAlign w:val="superscript"/>
        </w:rPr>
        <w:t>4</w:t>
      </w:r>
      <w:r>
        <w:rPr>
          <w:rFonts w:cstheme="minorHAnsi"/>
          <w:sz w:val="20"/>
          <w:szCs w:val="20"/>
        </w:rPr>
        <w:t>; Gerlinde Obermoser</w:t>
      </w:r>
      <w:r>
        <w:rPr>
          <w:rFonts w:cs="Calibri (Body)"/>
          <w:sz w:val="18"/>
          <w:szCs w:val="18"/>
          <w:vertAlign w:val="superscript"/>
        </w:rPr>
        <w:t>1,5</w:t>
      </w:r>
      <w:r>
        <w:rPr>
          <w:rFonts w:cstheme="minorHAnsi"/>
          <w:sz w:val="20"/>
          <w:szCs w:val="20"/>
        </w:rPr>
        <w:t>; Holder Terry Maecker</w:t>
      </w:r>
      <w:r>
        <w:rPr>
          <w:rFonts w:cs="Calibri (Body)"/>
          <w:sz w:val="18"/>
          <w:szCs w:val="18"/>
          <w:vertAlign w:val="superscript"/>
        </w:rPr>
        <w:t>5</w:t>
      </w:r>
      <w:r>
        <w:rPr>
          <w:rFonts w:cstheme="minorHAnsi"/>
          <w:sz w:val="20"/>
          <w:szCs w:val="20"/>
        </w:rPr>
        <w:t>; Prasanna Jagannathan</w:t>
      </w:r>
      <w:r>
        <w:rPr>
          <w:rFonts w:cs="Calibri (Body)"/>
          <w:sz w:val="18"/>
          <w:szCs w:val="18"/>
          <w:vertAlign w:val="superscript"/>
        </w:rPr>
        <w:t>3,6</w:t>
      </w:r>
      <w:r>
        <w:rPr>
          <w:rFonts w:cstheme="minorHAnsi"/>
          <w:sz w:val="20"/>
          <w:szCs w:val="20"/>
        </w:rPr>
        <w:t>; Thomas J. Scriba</w:t>
      </w:r>
      <w:r>
        <w:rPr>
          <w:rFonts w:cs="Calibri (Body)"/>
          <w:sz w:val="18"/>
          <w:szCs w:val="18"/>
          <w:vertAlign w:val="superscript"/>
        </w:rPr>
        <w:t>4</w:t>
      </w:r>
      <w:r>
        <w:rPr>
          <w:rFonts w:cstheme="minorHAnsi"/>
          <w:sz w:val="20"/>
          <w:szCs w:val="20"/>
        </w:rPr>
        <w:t>; Chetan Seshadri</w:t>
      </w:r>
      <w:r>
        <w:rPr>
          <w:rFonts w:cs="Calibri (Body)"/>
          <w:sz w:val="18"/>
          <w:szCs w:val="18"/>
          <w:vertAlign w:val="superscript"/>
        </w:rPr>
        <w:t>2</w:t>
      </w:r>
      <w:r>
        <w:rPr>
          <w:rFonts w:cstheme="minorHAnsi"/>
          <w:sz w:val="20"/>
          <w:szCs w:val="20"/>
        </w:rPr>
        <w:t>; Mark M. Davis</w:t>
      </w:r>
      <w:r>
        <w:rPr>
          <w:rFonts w:cs="Calibri (Body)"/>
          <w:sz w:val="18"/>
          <w:szCs w:val="18"/>
          <w:vertAlign w:val="superscript"/>
        </w:rPr>
        <w:t>1,6</w:t>
      </w:r>
    </w:p>
    <w:p w14:paraId="065DB1C2" w14:textId="77777777" w:rsidR="00286D1B" w:rsidRDefault="004B1BBD">
      <w:pPr>
        <w:spacing w:line="240" w:lineRule="auto"/>
        <w:contextualSpacing/>
        <w:rPr>
          <w:rFonts w:cstheme="minorHAnsi"/>
          <w:sz w:val="18"/>
          <w:szCs w:val="18"/>
        </w:rPr>
      </w:pPr>
      <w:r>
        <w:rPr>
          <w:rFonts w:cs="Calibri (Body)"/>
          <w:sz w:val="18"/>
          <w:szCs w:val="18"/>
          <w:vertAlign w:val="superscript"/>
        </w:rPr>
        <w:t>1</w:t>
      </w:r>
      <w:r>
        <w:rPr>
          <w:rFonts w:cstheme="minorHAnsi"/>
          <w:sz w:val="18"/>
          <w:szCs w:val="18"/>
        </w:rPr>
        <w:t xml:space="preserve"> Institute for Immunity, Transplantation, and Infection, Stanford University School of Medicine, Stanford, CA, USA</w:t>
      </w:r>
    </w:p>
    <w:p w14:paraId="53791161" w14:textId="77777777" w:rsidR="00286D1B" w:rsidRDefault="004B1BBD">
      <w:pPr>
        <w:spacing w:line="240" w:lineRule="auto"/>
        <w:contextualSpacing/>
        <w:rPr>
          <w:rFonts w:cstheme="minorHAnsi"/>
          <w:sz w:val="18"/>
          <w:szCs w:val="18"/>
        </w:rPr>
      </w:pPr>
      <w:r>
        <w:rPr>
          <w:rFonts w:cs="Calibri (Body)"/>
          <w:sz w:val="18"/>
          <w:szCs w:val="18"/>
          <w:vertAlign w:val="superscript"/>
        </w:rPr>
        <w:t>2</w:t>
      </w:r>
      <w:r>
        <w:rPr>
          <w:rFonts w:cstheme="minorHAnsi"/>
          <w:sz w:val="18"/>
          <w:szCs w:val="18"/>
        </w:rPr>
        <w:t xml:space="preserve"> Department of Medicine, University of Washington School of Medicine, Seattle, WA, USA</w:t>
      </w:r>
    </w:p>
    <w:p w14:paraId="669C8F07" w14:textId="77777777" w:rsidR="00286D1B" w:rsidRDefault="004B1BBD">
      <w:pPr>
        <w:spacing w:line="240" w:lineRule="auto"/>
        <w:contextualSpacing/>
        <w:rPr>
          <w:rFonts w:cstheme="minorHAnsi"/>
          <w:sz w:val="18"/>
          <w:szCs w:val="18"/>
        </w:rPr>
      </w:pPr>
      <w:r>
        <w:rPr>
          <w:rFonts w:cs="Calibri (Body)"/>
          <w:sz w:val="18"/>
          <w:szCs w:val="18"/>
          <w:vertAlign w:val="superscript"/>
        </w:rPr>
        <w:t>3</w:t>
      </w:r>
      <w:r>
        <w:rPr>
          <w:rFonts w:cstheme="minorHAnsi"/>
          <w:sz w:val="18"/>
          <w:szCs w:val="18"/>
        </w:rPr>
        <w:t xml:space="preserve"> Department of Medicine, Division of Infectious Diseases, Stanford University, Stanford, CA, USA</w:t>
      </w:r>
    </w:p>
    <w:p w14:paraId="1F27E2C0" w14:textId="77777777" w:rsidR="00286D1B" w:rsidRDefault="004B1BBD">
      <w:pPr>
        <w:spacing w:line="240" w:lineRule="auto"/>
        <w:contextualSpacing/>
        <w:rPr>
          <w:rFonts w:cstheme="minorHAnsi"/>
          <w:sz w:val="18"/>
          <w:szCs w:val="18"/>
        </w:rPr>
      </w:pPr>
      <w:r>
        <w:rPr>
          <w:rFonts w:cs="Calibri (Body)"/>
          <w:sz w:val="18"/>
          <w:szCs w:val="18"/>
          <w:vertAlign w:val="superscript"/>
        </w:rPr>
        <w:t>4</w:t>
      </w:r>
      <w:r>
        <w:rPr>
          <w:rFonts w:cstheme="minorHAnsi"/>
          <w:sz w:val="18"/>
          <w:szCs w:val="18"/>
        </w:rPr>
        <w:t xml:space="preserve"> South African Tuberculosis Vaccine Initiative, Institute of Infectious Disease and Molecular Medicine, and Division of Immunology, Department of Pathology, University of Cape Town, Cape Town, South Africa</w:t>
      </w:r>
    </w:p>
    <w:p w14:paraId="5832A61B" w14:textId="77777777" w:rsidR="00286D1B" w:rsidRDefault="004B1BBD">
      <w:pPr>
        <w:spacing w:line="240" w:lineRule="auto"/>
        <w:contextualSpacing/>
        <w:rPr>
          <w:rFonts w:cstheme="minorHAnsi"/>
          <w:sz w:val="18"/>
          <w:szCs w:val="18"/>
        </w:rPr>
      </w:pPr>
      <w:r>
        <w:rPr>
          <w:rFonts w:cs="Calibri (Body)"/>
          <w:sz w:val="18"/>
          <w:szCs w:val="18"/>
          <w:vertAlign w:val="superscript"/>
        </w:rPr>
        <w:t>5</w:t>
      </w:r>
      <w:r>
        <w:rPr>
          <w:rFonts w:cstheme="minorHAnsi"/>
          <w:sz w:val="18"/>
          <w:szCs w:val="18"/>
        </w:rPr>
        <w:t xml:space="preserve"> Human Immune Monitoring Center, Stanford University School of Medicine, Stanford, CA, USA</w:t>
      </w:r>
    </w:p>
    <w:p w14:paraId="2A1B4927" w14:textId="77777777" w:rsidR="00286D1B" w:rsidRDefault="004B1BBD">
      <w:pPr>
        <w:spacing w:line="240" w:lineRule="auto"/>
        <w:contextualSpacing/>
        <w:rPr>
          <w:rFonts w:cstheme="minorHAnsi"/>
          <w:sz w:val="18"/>
          <w:szCs w:val="18"/>
        </w:rPr>
      </w:pPr>
      <w:r>
        <w:rPr>
          <w:rFonts w:cs="Calibri (Body)"/>
          <w:sz w:val="18"/>
          <w:szCs w:val="18"/>
          <w:vertAlign w:val="superscript"/>
        </w:rPr>
        <w:t>6</w:t>
      </w:r>
      <w:r>
        <w:rPr>
          <w:rFonts w:cstheme="minorHAnsi"/>
          <w:sz w:val="18"/>
          <w:szCs w:val="18"/>
        </w:rPr>
        <w:t xml:space="preserve"> Department of Microbiology and Immunology, Stanford University, Stanford, CA, USA</w:t>
      </w:r>
    </w:p>
    <w:p w14:paraId="73D233DB" w14:textId="77777777" w:rsidR="00286D1B" w:rsidRDefault="00286D1B">
      <w:pPr>
        <w:rPr>
          <w:rFonts w:cstheme="minorHAnsi"/>
          <w:sz w:val="20"/>
          <w:szCs w:val="20"/>
        </w:rPr>
      </w:pPr>
    </w:p>
    <w:p w14:paraId="621C5ED4" w14:textId="77777777" w:rsidR="00286D1B" w:rsidRDefault="004B1BBD">
      <w:pPr>
        <w:rPr>
          <w:rFonts w:cstheme="minorHAnsi"/>
          <w:sz w:val="20"/>
          <w:szCs w:val="20"/>
        </w:rPr>
      </w:pPr>
      <w:r>
        <w:rPr>
          <w:rFonts w:cstheme="minorHAnsi"/>
          <w:sz w:val="20"/>
          <w:szCs w:val="20"/>
        </w:rPr>
        <w:t>Human T cells are critical for combating Mtb. The recognition of T cell receptors (TCRs) to the complex of antigenic peptide-Major Histocompatibility Complex (pMHC) initiates the antigen-specific T cell responses. The discovery of protective TCRs and the antigenic ligands not only lays the groundwork for the rational design of Mtb vaccines but also provides a unique perspective to understand host-pathogen interactions. Despite its importance, it has been challenging due to the enormous diversity of human HLA alleles, TCR repertoire, and the complexity of Mtb genomes. In this study, we leveraged cutting-edge AI/ML, computational, and molecular immunology approaches to discover human TCRs and their antigenic ligands that correlated with the control of Mtb infection. The identified Mtb antigens have been constructed as mRNA vaccine candidates and performed well in mouse Mtb infection models. On top of that, the identified Mtb antigens granted us a high-resolution lens to uncover the human T cell responses in responding to Mtb and the host-pathogen interactions. With multi-omics methods, we first identified a novel stem-like T follicular helper phenotype associated with the control of Mtb infection in humans, whereas helper type 1 (Th1) and type 17 (Th17) T cells were previously believed to be the major protective subsets. Lastly, a longstanding barrier in studying host-pathogen interaction from a human T cell immunology perspective is the lack of appropriate experimental models due to the MHC restriction. To overcome this, we built a spleen-based immune organoid model that reproduces authentic antigen-specific T cell and B cell responses to FDA-approved vaccines, including the only licensed Mtb vaccine, BCG. With this model, we observed evidence that the protective antigen-specific Tfh response was induced by BCG at birth along with the antigen-specific B cell responses, but diminished upon later Mtb exposure, suggesting Mtb exposure can subvert the original human T cell responses that correlated with protection to potentially evade being eliminated by the human immune system.</w:t>
      </w:r>
    </w:p>
    <w:p w14:paraId="756ED809" w14:textId="77777777" w:rsidR="00691E24" w:rsidRDefault="00691E24">
      <w:pPr>
        <w:rPr>
          <w:rFonts w:eastAsia="Times New Roman"/>
          <w:color w:val="000000" w:themeColor="text1"/>
          <w:sz w:val="24"/>
          <w:szCs w:val="24"/>
        </w:rPr>
      </w:pPr>
      <w:r>
        <w:rPr>
          <w:rFonts w:eastAsia="Times New Roman"/>
        </w:rPr>
        <w:br w:type="page"/>
      </w:r>
    </w:p>
    <w:p w14:paraId="3862B620" w14:textId="77777777" w:rsidR="00286D1B" w:rsidRDefault="004B1BBD">
      <w:pPr>
        <w:pStyle w:val="Heading2"/>
        <w:rPr>
          <w:rFonts w:asciiTheme="minorHAnsi" w:eastAsia="Times New Roman" w:hAnsiTheme="minorHAnsi" w:cstheme="minorBidi"/>
        </w:rPr>
      </w:pPr>
      <w:bookmarkStart w:id="25" w:name="_Toc238729453"/>
      <w:r>
        <w:rPr>
          <w:rFonts w:asciiTheme="minorHAnsi" w:eastAsia="Times New Roman" w:hAnsiTheme="minorHAnsi" w:cstheme="minorBidi"/>
        </w:rPr>
        <w:lastRenderedPageBreak/>
        <w:t>PP-12: Quinn Gavin, University of California, Irvine</w:t>
      </w:r>
      <w:bookmarkEnd w:id="25"/>
    </w:p>
    <w:p w14:paraId="3DF1AFD5" w14:textId="77777777" w:rsidR="00286D1B" w:rsidRDefault="00286D1B">
      <w:pPr>
        <w:rPr>
          <w:rFonts w:cstheme="minorHAnsi"/>
          <w:sz w:val="20"/>
          <w:szCs w:val="20"/>
        </w:rPr>
      </w:pPr>
    </w:p>
    <w:p w14:paraId="7BF35FC8" w14:textId="77777777" w:rsidR="00286D1B" w:rsidRDefault="004B1BBD">
      <w:pPr>
        <w:rPr>
          <w:rFonts w:cstheme="minorHAnsi"/>
          <w:sz w:val="24"/>
          <w:szCs w:val="24"/>
        </w:rPr>
      </w:pPr>
      <w:r>
        <w:rPr>
          <w:rFonts w:cstheme="minorHAnsi"/>
          <w:b/>
          <w:bCs/>
          <w:sz w:val="24"/>
          <w:szCs w:val="24"/>
        </w:rPr>
        <w:t>Diagnostic Performance of Tongue Swabs for Pediatric Pulmonary TB Using Xpert MTB/RIF Ultra: a multi-country study</w:t>
      </w:r>
    </w:p>
    <w:p w14:paraId="42AE80F4" w14:textId="77777777" w:rsidR="00286D1B" w:rsidRDefault="004B1BBD">
      <w:pPr>
        <w:rPr>
          <w:rFonts w:cstheme="minorHAnsi"/>
          <w:sz w:val="20"/>
          <w:szCs w:val="20"/>
        </w:rPr>
      </w:pPr>
      <w:r>
        <w:rPr>
          <w:rFonts w:cstheme="minorHAnsi"/>
          <w:sz w:val="20"/>
          <w:szCs w:val="20"/>
        </w:rPr>
        <w:t>Quinn Gavin, University of California, Irvine</w:t>
      </w:r>
    </w:p>
    <w:p w14:paraId="3B95EFE0" w14:textId="77777777" w:rsidR="00286D1B" w:rsidRDefault="004B1BBD">
      <w:pPr>
        <w:rPr>
          <w:rFonts w:eastAsia="Aptos" w:cstheme="minorHAnsi"/>
          <w:sz w:val="20"/>
        </w:rPr>
      </w:pPr>
      <w:r>
        <w:rPr>
          <w:rFonts w:eastAsia="Aptos" w:cstheme="minorHAnsi"/>
          <w:sz w:val="20"/>
        </w:rPr>
        <w:t xml:space="preserve">Email: </w:t>
      </w:r>
      <w:hyperlink r:id="rId31" w:history="1">
        <w:r>
          <w:rPr>
            <w:rStyle w:val="Hyperlink"/>
            <w:rFonts w:eastAsia="Aptos" w:cstheme="minorHAnsi"/>
            <w:sz w:val="20"/>
          </w:rPr>
          <w:t>qgavin@hs.uci.edu</w:t>
        </w:r>
      </w:hyperlink>
    </w:p>
    <w:p w14:paraId="0220390C" w14:textId="77777777" w:rsidR="00286D1B" w:rsidRDefault="00286D1B">
      <w:pPr>
        <w:rPr>
          <w:rFonts w:cstheme="minorHAnsi"/>
          <w:sz w:val="20"/>
          <w:szCs w:val="20"/>
        </w:rPr>
      </w:pPr>
    </w:p>
    <w:p w14:paraId="29393E94" w14:textId="77777777" w:rsidR="00286D1B" w:rsidRDefault="004B1BBD">
      <w:pPr>
        <w:rPr>
          <w:rFonts w:cstheme="minorHAnsi"/>
          <w:sz w:val="20"/>
          <w:szCs w:val="20"/>
        </w:rPr>
      </w:pPr>
      <w:r>
        <w:rPr>
          <w:rFonts w:cstheme="minorHAnsi"/>
          <w:sz w:val="20"/>
          <w:szCs w:val="20"/>
        </w:rPr>
        <w:t>Gavin, Quinn</w:t>
      </w:r>
      <w:r>
        <w:rPr>
          <w:rFonts w:cs="Calibri (Body)"/>
          <w:sz w:val="18"/>
          <w:szCs w:val="18"/>
          <w:vertAlign w:val="superscript"/>
        </w:rPr>
        <w:t>1,2</w:t>
      </w:r>
      <w:r>
        <w:rPr>
          <w:rFonts w:cstheme="minorHAnsi"/>
          <w:sz w:val="20"/>
          <w:szCs w:val="20"/>
        </w:rPr>
        <w:t>; Greenberg, Lauren</w:t>
      </w:r>
      <w:r>
        <w:rPr>
          <w:rFonts w:cs="Calibri (Body)"/>
          <w:sz w:val="18"/>
          <w:szCs w:val="18"/>
          <w:vertAlign w:val="superscript"/>
        </w:rPr>
        <w:t>3</w:t>
      </w:r>
      <w:r>
        <w:rPr>
          <w:rFonts w:cstheme="minorHAnsi"/>
          <w:sz w:val="20"/>
          <w:szCs w:val="20"/>
        </w:rPr>
        <w:t>; Castro, Robert</w:t>
      </w:r>
      <w:r>
        <w:rPr>
          <w:rFonts w:cs="Calibri (Body)"/>
          <w:sz w:val="18"/>
          <w:szCs w:val="18"/>
          <w:vertAlign w:val="superscript"/>
        </w:rPr>
        <w:t>2</w:t>
      </w:r>
      <w:r>
        <w:rPr>
          <w:rFonts w:cstheme="minorHAnsi"/>
          <w:sz w:val="20"/>
          <w:szCs w:val="20"/>
        </w:rPr>
        <w:t>; Cook, Catherine</w:t>
      </w:r>
      <w:r>
        <w:rPr>
          <w:rFonts w:cs="Calibri (Body)"/>
          <w:sz w:val="18"/>
          <w:szCs w:val="18"/>
          <w:vertAlign w:val="superscript"/>
        </w:rPr>
        <w:t>2</w:t>
      </w:r>
      <w:r>
        <w:rPr>
          <w:rFonts w:cstheme="minorHAnsi"/>
          <w:sz w:val="20"/>
          <w:szCs w:val="20"/>
        </w:rPr>
        <w:t>; Narayanan, Naythra</w:t>
      </w:r>
      <w:r>
        <w:rPr>
          <w:rFonts w:cs="Calibri (Body)"/>
          <w:sz w:val="18"/>
          <w:szCs w:val="18"/>
          <w:vertAlign w:val="superscript"/>
        </w:rPr>
        <w:t>2</w:t>
      </w:r>
      <w:r>
        <w:rPr>
          <w:rFonts w:cstheme="minorHAnsi"/>
          <w:sz w:val="20"/>
          <w:szCs w:val="20"/>
        </w:rPr>
        <w:t>; Poore, Hayley</w:t>
      </w:r>
      <w:r>
        <w:rPr>
          <w:rFonts w:cs="Calibri (Body)"/>
          <w:sz w:val="18"/>
          <w:szCs w:val="18"/>
          <w:vertAlign w:val="superscript"/>
        </w:rPr>
        <w:t>1,2</w:t>
      </w:r>
      <w:r>
        <w:rPr>
          <w:rFonts w:cstheme="minorHAnsi"/>
          <w:sz w:val="20"/>
          <w:szCs w:val="20"/>
        </w:rPr>
        <w:t>; Atwiine, Deus</w:t>
      </w:r>
      <w:r>
        <w:rPr>
          <w:rFonts w:cs="Calibri (Body)"/>
          <w:sz w:val="18"/>
          <w:szCs w:val="18"/>
          <w:vertAlign w:val="superscript"/>
        </w:rPr>
        <w:t>4</w:t>
      </w:r>
      <w:r>
        <w:rPr>
          <w:rFonts w:cstheme="minorHAnsi"/>
          <w:sz w:val="20"/>
          <w:szCs w:val="20"/>
        </w:rPr>
        <w:t>; Baard, Cynthia</w:t>
      </w:r>
      <w:r>
        <w:rPr>
          <w:rFonts w:cs="Calibri (Body)"/>
          <w:sz w:val="18"/>
          <w:szCs w:val="18"/>
          <w:vertAlign w:val="superscript"/>
        </w:rPr>
        <w:t>5</w:t>
      </w:r>
      <w:r>
        <w:rPr>
          <w:rFonts w:cstheme="minorHAnsi"/>
          <w:sz w:val="20"/>
          <w:szCs w:val="20"/>
        </w:rPr>
        <w:t>; Banze, Denise</w:t>
      </w:r>
      <w:r>
        <w:rPr>
          <w:rFonts w:cs="Calibri (Body)"/>
          <w:sz w:val="18"/>
          <w:szCs w:val="18"/>
          <w:vertAlign w:val="superscript"/>
        </w:rPr>
        <w:t>6</w:t>
      </w:r>
      <w:r>
        <w:rPr>
          <w:rFonts w:cstheme="minorHAnsi"/>
          <w:sz w:val="20"/>
          <w:szCs w:val="20"/>
        </w:rPr>
        <w:t>; Luiz, Juaneta</w:t>
      </w:r>
      <w:r>
        <w:rPr>
          <w:rFonts w:cs="Calibri (Body)"/>
          <w:sz w:val="18"/>
          <w:szCs w:val="18"/>
          <w:vertAlign w:val="superscript"/>
        </w:rPr>
        <w:t>5,7</w:t>
      </w:r>
      <w:r>
        <w:rPr>
          <w:rFonts w:cstheme="minorHAnsi"/>
          <w:sz w:val="20"/>
          <w:szCs w:val="20"/>
        </w:rPr>
        <w:t>; Mutisse, Márcia</w:t>
      </w:r>
      <w:r>
        <w:rPr>
          <w:rFonts w:cs="Calibri (Body)"/>
          <w:sz w:val="18"/>
          <w:szCs w:val="18"/>
          <w:vertAlign w:val="superscript"/>
        </w:rPr>
        <w:t>6</w:t>
      </w:r>
      <w:r>
        <w:rPr>
          <w:rFonts w:cstheme="minorHAnsi"/>
          <w:sz w:val="20"/>
          <w:szCs w:val="20"/>
        </w:rPr>
        <w:t>; Nkereuwem, Esin</w:t>
      </w:r>
      <w:r>
        <w:rPr>
          <w:rFonts w:cs="Calibri (Body)"/>
          <w:sz w:val="18"/>
          <w:szCs w:val="18"/>
          <w:vertAlign w:val="superscript"/>
        </w:rPr>
        <w:t>8</w:t>
      </w:r>
      <w:r>
        <w:rPr>
          <w:rFonts w:cstheme="minorHAnsi"/>
          <w:sz w:val="20"/>
          <w:szCs w:val="20"/>
        </w:rPr>
        <w:t>; Wambi, Peter</w:t>
      </w:r>
      <w:r>
        <w:rPr>
          <w:rFonts w:cs="Calibri (Body)"/>
          <w:sz w:val="18"/>
          <w:szCs w:val="18"/>
          <w:vertAlign w:val="superscript"/>
        </w:rPr>
        <w:t>4</w:t>
      </w:r>
      <w:r>
        <w:rPr>
          <w:rFonts w:cstheme="minorHAnsi"/>
          <w:sz w:val="20"/>
          <w:szCs w:val="20"/>
        </w:rPr>
        <w:t>; Kampmann, Beate</w:t>
      </w:r>
      <w:r>
        <w:rPr>
          <w:rFonts w:cs="Calibri (Body)"/>
          <w:sz w:val="18"/>
          <w:szCs w:val="18"/>
          <w:vertAlign w:val="superscript"/>
        </w:rPr>
        <w:t>8,9</w:t>
      </w:r>
      <w:r>
        <w:rPr>
          <w:rFonts w:cstheme="minorHAnsi"/>
          <w:sz w:val="20"/>
          <w:szCs w:val="20"/>
        </w:rPr>
        <w:t>; Khosa, Celso</w:t>
      </w:r>
      <w:r>
        <w:rPr>
          <w:rFonts w:cs="Calibri (Body)"/>
          <w:sz w:val="18"/>
          <w:szCs w:val="18"/>
          <w:vertAlign w:val="superscript"/>
        </w:rPr>
        <w:t>6</w:t>
      </w:r>
      <w:r>
        <w:rPr>
          <w:rFonts w:cstheme="minorHAnsi"/>
          <w:sz w:val="20"/>
          <w:szCs w:val="20"/>
        </w:rPr>
        <w:t>; Wobudeya, Eric</w:t>
      </w:r>
      <w:r>
        <w:rPr>
          <w:rFonts w:cs="Calibri (Body)"/>
          <w:sz w:val="18"/>
          <w:szCs w:val="18"/>
          <w:vertAlign w:val="superscript"/>
        </w:rPr>
        <w:t>4</w:t>
      </w:r>
      <w:r>
        <w:rPr>
          <w:rFonts w:cstheme="minorHAnsi"/>
          <w:sz w:val="20"/>
          <w:szCs w:val="20"/>
        </w:rPr>
        <w:t>; Zar, Heather J</w:t>
      </w:r>
      <w:r>
        <w:rPr>
          <w:rFonts w:cs="Calibri (Body)"/>
          <w:sz w:val="18"/>
          <w:szCs w:val="18"/>
          <w:vertAlign w:val="superscript"/>
        </w:rPr>
        <w:t>5</w:t>
      </w:r>
      <w:r>
        <w:rPr>
          <w:rFonts w:cstheme="minorHAnsi"/>
          <w:sz w:val="20"/>
          <w:szCs w:val="20"/>
        </w:rPr>
        <w:t>; Bhatt, Nilesh</w:t>
      </w:r>
      <w:r>
        <w:rPr>
          <w:rFonts w:cs="Calibri (Body)"/>
          <w:sz w:val="18"/>
          <w:szCs w:val="18"/>
          <w:vertAlign w:val="superscript"/>
        </w:rPr>
        <w:t>3</w:t>
      </w:r>
      <w:r>
        <w:rPr>
          <w:rFonts w:cstheme="minorHAnsi"/>
          <w:sz w:val="20"/>
          <w:szCs w:val="20"/>
        </w:rPr>
        <w:t>; Kerkhoff, Andrew</w:t>
      </w:r>
      <w:r>
        <w:rPr>
          <w:rFonts w:cs="Calibri (Body)"/>
          <w:sz w:val="18"/>
          <w:szCs w:val="18"/>
          <w:vertAlign w:val="superscript"/>
        </w:rPr>
        <w:t>2</w:t>
      </w:r>
      <w:r>
        <w:rPr>
          <w:rFonts w:cstheme="minorHAnsi"/>
          <w:sz w:val="20"/>
          <w:szCs w:val="20"/>
        </w:rPr>
        <w:t>; Kato-Maeda, Midori</w:t>
      </w:r>
      <w:r>
        <w:rPr>
          <w:rFonts w:cs="Calibri (Body)"/>
          <w:sz w:val="18"/>
          <w:szCs w:val="18"/>
          <w:vertAlign w:val="superscript"/>
        </w:rPr>
        <w:t>2</w:t>
      </w:r>
      <w:r>
        <w:rPr>
          <w:rFonts w:cstheme="minorHAnsi"/>
          <w:sz w:val="20"/>
          <w:szCs w:val="20"/>
        </w:rPr>
        <w:t>; Phillips, Patrick</w:t>
      </w:r>
      <w:r>
        <w:rPr>
          <w:rFonts w:cs="Calibri (Body)"/>
          <w:sz w:val="18"/>
          <w:szCs w:val="18"/>
          <w:vertAlign w:val="superscript"/>
        </w:rPr>
        <w:t>2</w:t>
      </w:r>
      <w:r>
        <w:rPr>
          <w:rFonts w:cstheme="minorHAnsi"/>
          <w:sz w:val="20"/>
          <w:szCs w:val="20"/>
        </w:rPr>
        <w:t>; Nahid, Payam</w:t>
      </w:r>
      <w:r>
        <w:rPr>
          <w:rFonts w:cs="Calibri (Body)"/>
          <w:sz w:val="18"/>
          <w:szCs w:val="18"/>
          <w:vertAlign w:val="superscript"/>
        </w:rPr>
        <w:t>2</w:t>
      </w:r>
      <w:r>
        <w:rPr>
          <w:rFonts w:cstheme="minorHAnsi"/>
          <w:sz w:val="20"/>
          <w:szCs w:val="20"/>
        </w:rPr>
        <w:t>; Denkinger, Claudia</w:t>
      </w:r>
      <w:r>
        <w:rPr>
          <w:rFonts w:cs="Calibri (Body)"/>
          <w:sz w:val="18"/>
          <w:szCs w:val="18"/>
          <w:vertAlign w:val="superscript"/>
        </w:rPr>
        <w:t>10</w:t>
      </w:r>
      <w:r>
        <w:rPr>
          <w:rFonts w:cstheme="minorHAnsi"/>
          <w:sz w:val="20"/>
          <w:szCs w:val="20"/>
        </w:rPr>
        <w:t>; Cattamanchi, Adithya</w:t>
      </w:r>
      <w:r>
        <w:rPr>
          <w:rFonts w:cs="Calibri (Body)"/>
          <w:sz w:val="18"/>
          <w:szCs w:val="18"/>
          <w:vertAlign w:val="superscript"/>
        </w:rPr>
        <w:t>1,2</w:t>
      </w:r>
      <w:r>
        <w:rPr>
          <w:rFonts w:cstheme="minorHAnsi"/>
          <w:sz w:val="20"/>
          <w:szCs w:val="20"/>
        </w:rPr>
        <w:t>; Jaganath, Devan</w:t>
      </w:r>
      <w:r>
        <w:rPr>
          <w:rFonts w:cs="Calibri (Body)"/>
          <w:sz w:val="18"/>
          <w:szCs w:val="18"/>
          <w:vertAlign w:val="superscript"/>
        </w:rPr>
        <w:t>2</w:t>
      </w:r>
    </w:p>
    <w:p w14:paraId="1422769B" w14:textId="77777777" w:rsidR="00FF6D85" w:rsidRDefault="004B1BBD">
      <w:pPr>
        <w:spacing w:line="240" w:lineRule="auto"/>
        <w:contextualSpacing/>
        <w:rPr>
          <w:rFonts w:cstheme="minorHAnsi"/>
          <w:sz w:val="18"/>
          <w:szCs w:val="18"/>
        </w:rPr>
      </w:pPr>
      <w:r>
        <w:rPr>
          <w:rFonts w:cs="Calibri (Body)"/>
          <w:sz w:val="18"/>
          <w:szCs w:val="18"/>
          <w:vertAlign w:val="superscript"/>
        </w:rPr>
        <w:t>1</w:t>
      </w:r>
      <w:r>
        <w:rPr>
          <w:rFonts w:cstheme="minorHAnsi"/>
          <w:sz w:val="18"/>
          <w:szCs w:val="18"/>
        </w:rPr>
        <w:t xml:space="preserve"> University of California Irvine, Irvine, California</w:t>
      </w:r>
    </w:p>
    <w:p w14:paraId="092CE3B1" w14:textId="77777777" w:rsidR="00FF6D85" w:rsidRDefault="004B1BBD">
      <w:pPr>
        <w:spacing w:line="240" w:lineRule="auto"/>
        <w:contextualSpacing/>
        <w:rPr>
          <w:rFonts w:cstheme="minorHAnsi"/>
          <w:sz w:val="18"/>
          <w:szCs w:val="18"/>
        </w:rPr>
      </w:pPr>
      <w:r>
        <w:rPr>
          <w:rFonts w:cs="Calibri (Body)"/>
          <w:sz w:val="18"/>
          <w:szCs w:val="18"/>
          <w:vertAlign w:val="superscript"/>
        </w:rPr>
        <w:t>2</w:t>
      </w:r>
      <w:r>
        <w:rPr>
          <w:rFonts w:cstheme="minorHAnsi"/>
          <w:sz w:val="18"/>
          <w:szCs w:val="18"/>
        </w:rPr>
        <w:t xml:space="preserve"> University of California San Francisco, San Francisco, California</w:t>
      </w:r>
    </w:p>
    <w:p w14:paraId="1A27A670" w14:textId="77777777" w:rsidR="00FF6D85" w:rsidRDefault="004B1BBD">
      <w:pPr>
        <w:spacing w:line="240" w:lineRule="auto"/>
        <w:contextualSpacing/>
        <w:rPr>
          <w:rFonts w:cstheme="minorHAnsi"/>
          <w:sz w:val="18"/>
          <w:szCs w:val="18"/>
        </w:rPr>
      </w:pPr>
      <w:r>
        <w:rPr>
          <w:rFonts w:cs="Calibri (Body)"/>
          <w:sz w:val="18"/>
          <w:szCs w:val="18"/>
          <w:vertAlign w:val="superscript"/>
        </w:rPr>
        <w:t>3</w:t>
      </w:r>
      <w:r>
        <w:rPr>
          <w:rFonts w:cstheme="minorHAnsi"/>
          <w:sz w:val="18"/>
          <w:szCs w:val="18"/>
        </w:rPr>
        <w:t xml:space="preserve"> Elizabeth Glaser Pediatric AIDS Foundation, Washington, DC</w:t>
      </w:r>
    </w:p>
    <w:p w14:paraId="7E28E5CF" w14:textId="77777777" w:rsidR="00FF6D85" w:rsidRDefault="004B1BBD">
      <w:pPr>
        <w:spacing w:line="240" w:lineRule="auto"/>
        <w:contextualSpacing/>
        <w:rPr>
          <w:rFonts w:cstheme="minorHAnsi"/>
          <w:sz w:val="18"/>
          <w:szCs w:val="18"/>
        </w:rPr>
      </w:pPr>
      <w:r>
        <w:rPr>
          <w:rFonts w:cs="Calibri (Body)"/>
          <w:sz w:val="18"/>
          <w:szCs w:val="18"/>
          <w:vertAlign w:val="superscript"/>
        </w:rPr>
        <w:t>4</w:t>
      </w:r>
      <w:r>
        <w:rPr>
          <w:rFonts w:cstheme="minorHAnsi"/>
          <w:sz w:val="18"/>
          <w:szCs w:val="18"/>
        </w:rPr>
        <w:t xml:space="preserve"> Mulago National Referral Hospital, Kampala, Uganda</w:t>
      </w:r>
    </w:p>
    <w:p w14:paraId="02052F36" w14:textId="77777777" w:rsidR="00FF6D85" w:rsidRDefault="004B1BBD">
      <w:pPr>
        <w:spacing w:line="240" w:lineRule="auto"/>
        <w:contextualSpacing/>
        <w:rPr>
          <w:rFonts w:cstheme="minorHAnsi"/>
          <w:sz w:val="18"/>
          <w:szCs w:val="18"/>
        </w:rPr>
      </w:pPr>
      <w:r>
        <w:rPr>
          <w:rFonts w:cs="Calibri (Body)"/>
          <w:sz w:val="18"/>
          <w:szCs w:val="18"/>
          <w:vertAlign w:val="superscript"/>
        </w:rPr>
        <w:t>5</w:t>
      </w:r>
      <w:r>
        <w:rPr>
          <w:rFonts w:cstheme="minorHAnsi"/>
          <w:sz w:val="18"/>
          <w:szCs w:val="18"/>
        </w:rPr>
        <w:t xml:space="preserve"> University of Cape Town, Cape Town, South Africa</w:t>
      </w:r>
    </w:p>
    <w:p w14:paraId="1BF0EB95" w14:textId="77777777" w:rsidR="00FF6D85" w:rsidRDefault="004B1BBD">
      <w:pPr>
        <w:spacing w:line="240" w:lineRule="auto"/>
        <w:contextualSpacing/>
        <w:rPr>
          <w:rFonts w:cstheme="minorHAnsi"/>
          <w:sz w:val="18"/>
          <w:szCs w:val="18"/>
        </w:rPr>
      </w:pPr>
      <w:r>
        <w:rPr>
          <w:rFonts w:cs="Calibri (Body)"/>
          <w:sz w:val="18"/>
          <w:szCs w:val="18"/>
          <w:vertAlign w:val="superscript"/>
        </w:rPr>
        <w:t>6</w:t>
      </w:r>
      <w:r>
        <w:rPr>
          <w:rFonts w:cstheme="minorHAnsi"/>
          <w:sz w:val="18"/>
          <w:szCs w:val="18"/>
        </w:rPr>
        <w:t xml:space="preserve"> Instituto Nacional de Saúde, Maputo, Mozambique</w:t>
      </w:r>
    </w:p>
    <w:p w14:paraId="048A791E" w14:textId="77777777" w:rsidR="00FF6D85" w:rsidRDefault="004B1BBD">
      <w:pPr>
        <w:spacing w:line="240" w:lineRule="auto"/>
        <w:contextualSpacing/>
        <w:rPr>
          <w:rFonts w:cstheme="minorHAnsi"/>
          <w:sz w:val="18"/>
          <w:szCs w:val="18"/>
        </w:rPr>
      </w:pPr>
      <w:r>
        <w:rPr>
          <w:rFonts w:cs="Calibri (Body)"/>
          <w:sz w:val="18"/>
          <w:szCs w:val="18"/>
          <w:vertAlign w:val="superscript"/>
        </w:rPr>
        <w:t>7</w:t>
      </w:r>
      <w:r>
        <w:rPr>
          <w:rFonts w:cstheme="minorHAnsi"/>
          <w:sz w:val="18"/>
          <w:szCs w:val="18"/>
        </w:rPr>
        <w:t xml:space="preserve"> Dora Nginza Hospital, Gqeberha, South Africa</w:t>
      </w:r>
    </w:p>
    <w:p w14:paraId="4F55310A" w14:textId="77777777" w:rsidR="00FF6D85" w:rsidRDefault="004B1BBD">
      <w:pPr>
        <w:spacing w:line="240" w:lineRule="auto"/>
        <w:contextualSpacing/>
        <w:rPr>
          <w:rFonts w:cstheme="minorHAnsi"/>
          <w:sz w:val="18"/>
          <w:szCs w:val="18"/>
        </w:rPr>
      </w:pPr>
      <w:r>
        <w:rPr>
          <w:rFonts w:cs="Calibri (Body)"/>
          <w:sz w:val="18"/>
          <w:szCs w:val="18"/>
          <w:vertAlign w:val="superscript"/>
        </w:rPr>
        <w:t>8</w:t>
      </w:r>
      <w:r>
        <w:rPr>
          <w:rFonts w:cstheme="minorHAnsi"/>
          <w:sz w:val="18"/>
          <w:szCs w:val="18"/>
        </w:rPr>
        <w:t xml:space="preserve"> Medical Research Council Unit </w:t>
      </w:r>
      <w:proofErr w:type="gramStart"/>
      <w:r>
        <w:rPr>
          <w:rFonts w:cstheme="minorHAnsi"/>
          <w:sz w:val="18"/>
          <w:szCs w:val="18"/>
        </w:rPr>
        <w:t>The</w:t>
      </w:r>
      <w:proofErr w:type="gramEnd"/>
      <w:r>
        <w:rPr>
          <w:rFonts w:cstheme="minorHAnsi"/>
          <w:sz w:val="18"/>
          <w:szCs w:val="18"/>
        </w:rPr>
        <w:t xml:space="preserve"> Gambia at the London School of Hygiene and Tropical Medicine, Fajara, The Gambia</w:t>
      </w:r>
    </w:p>
    <w:p w14:paraId="12472EDE" w14:textId="77777777" w:rsidR="00FF6D85" w:rsidRDefault="004B1BBD">
      <w:pPr>
        <w:spacing w:line="240" w:lineRule="auto"/>
        <w:contextualSpacing/>
        <w:rPr>
          <w:rFonts w:cstheme="minorHAnsi"/>
          <w:sz w:val="18"/>
          <w:szCs w:val="18"/>
        </w:rPr>
      </w:pPr>
      <w:r>
        <w:rPr>
          <w:rFonts w:cs="Calibri (Body)"/>
          <w:sz w:val="18"/>
          <w:szCs w:val="18"/>
          <w:vertAlign w:val="superscript"/>
        </w:rPr>
        <w:t>9</w:t>
      </w:r>
      <w:r>
        <w:rPr>
          <w:rFonts w:cstheme="minorHAnsi"/>
          <w:sz w:val="18"/>
          <w:szCs w:val="18"/>
        </w:rPr>
        <w:t xml:space="preserve"> Charité – Universitätsmedizin Berlin, Berlin, Germany</w:t>
      </w:r>
    </w:p>
    <w:p w14:paraId="4FDDB325" w14:textId="77777777" w:rsidR="00286D1B" w:rsidRDefault="004B1BBD">
      <w:pPr>
        <w:spacing w:line="240" w:lineRule="auto"/>
        <w:contextualSpacing/>
        <w:rPr>
          <w:rFonts w:cstheme="minorHAnsi"/>
          <w:sz w:val="18"/>
          <w:szCs w:val="18"/>
        </w:rPr>
      </w:pPr>
      <w:r>
        <w:rPr>
          <w:rFonts w:cs="Calibri (Body)"/>
          <w:sz w:val="18"/>
          <w:szCs w:val="18"/>
          <w:vertAlign w:val="superscript"/>
        </w:rPr>
        <w:t>10</w:t>
      </w:r>
      <w:r>
        <w:rPr>
          <w:rFonts w:cstheme="minorHAnsi"/>
          <w:sz w:val="18"/>
          <w:szCs w:val="18"/>
        </w:rPr>
        <w:t xml:space="preserve"> University Hospital of Heidelberg, Heidelberg, Germany</w:t>
      </w:r>
    </w:p>
    <w:p w14:paraId="072E6AA3" w14:textId="77777777" w:rsidR="00286D1B" w:rsidRDefault="00286D1B">
      <w:pPr>
        <w:rPr>
          <w:rFonts w:cstheme="minorHAnsi"/>
          <w:sz w:val="20"/>
          <w:szCs w:val="20"/>
        </w:rPr>
      </w:pPr>
    </w:p>
    <w:p w14:paraId="1ABD9AAD" w14:textId="77777777" w:rsidR="00967449" w:rsidRDefault="004B1BBD">
      <w:pPr>
        <w:rPr>
          <w:rFonts w:cstheme="minorHAnsi"/>
          <w:sz w:val="20"/>
          <w:szCs w:val="20"/>
        </w:rPr>
      </w:pPr>
      <w:r>
        <w:rPr>
          <w:rFonts w:cstheme="minorHAnsi"/>
          <w:b/>
          <w:bCs/>
          <w:sz w:val="20"/>
          <w:szCs w:val="20"/>
        </w:rPr>
        <w:t>Background:</w:t>
      </w:r>
      <w:r>
        <w:rPr>
          <w:rFonts w:cstheme="minorHAnsi"/>
          <w:sz w:val="20"/>
          <w:szCs w:val="20"/>
        </w:rPr>
        <w:t xml:space="preserve"> There is a critical need for more and improved pediatric tuberculosis (TB) diagnostic tools. Tongue swabs may be a viable alternative when sputum collection is difficult. We evaluated the diagnostic yield and diagnostic accuracy of tongue swabs using Xpert MTB/RIF Ultra (Xpert). </w:t>
      </w:r>
    </w:p>
    <w:p w14:paraId="76E39FCF" w14:textId="77777777" w:rsidR="00967449" w:rsidRDefault="004B1BBD">
      <w:pPr>
        <w:rPr>
          <w:rFonts w:cstheme="minorHAnsi"/>
          <w:sz w:val="20"/>
          <w:szCs w:val="20"/>
        </w:rPr>
      </w:pPr>
      <w:r>
        <w:rPr>
          <w:rFonts w:cstheme="minorHAnsi"/>
          <w:b/>
          <w:bCs/>
          <w:sz w:val="20"/>
          <w:szCs w:val="20"/>
        </w:rPr>
        <w:t>Methods:</w:t>
      </w:r>
      <w:r>
        <w:rPr>
          <w:rFonts w:cstheme="minorHAnsi"/>
          <w:sz w:val="20"/>
          <w:szCs w:val="20"/>
        </w:rPr>
        <w:t xml:space="preserve"> Children &lt;15 years with presumptive pulmonary TB were enrolled at hospitals and outpatient clinics in Mozambique, South Africa, and Uganda. One tongue swab was collected for Xpert Ultra testing using a consensus processing method, and two sputum samples (or other respiratory sample, if sputum was not available) were collected and tested with molecular tests (Xpert or Roche Cobas MTB) and mycobacterial liquid and/or solid culture. Tongue swab Xpert performance was evaluated against two reference standards: (1) culture positivity and (2) microbiological reference standard (MRS), defined as culture and/or respiratory molecular test positivity. </w:t>
      </w:r>
    </w:p>
    <w:p w14:paraId="1576B48C" w14:textId="77777777" w:rsidR="00967449" w:rsidRDefault="004B1BBD">
      <w:pPr>
        <w:rPr>
          <w:rFonts w:cstheme="minorHAnsi"/>
          <w:sz w:val="20"/>
          <w:szCs w:val="20"/>
        </w:rPr>
      </w:pPr>
      <w:r>
        <w:rPr>
          <w:rFonts w:cstheme="minorHAnsi"/>
          <w:b/>
          <w:bCs/>
          <w:sz w:val="20"/>
          <w:szCs w:val="20"/>
        </w:rPr>
        <w:t>Results:</w:t>
      </w:r>
      <w:r>
        <w:rPr>
          <w:rFonts w:cstheme="minorHAnsi"/>
          <w:sz w:val="20"/>
          <w:szCs w:val="20"/>
        </w:rPr>
        <w:t xml:space="preserve"> 528 participants with median age (IQR) of 5 (2-9) years, 48.5% female, and 5.9% living with HIV, were enrolled in the study and had a tongue swab tested with Xpert. Culture was positive in 6.4% (34/528), while 2.7% (14) of children had no valid culture result. Diagnostic yield of tongue swab Xpert was significantly lower than molecular testing on respiratory samples (2.3% vs. 8.5%, p&lt;0.01). Against culture, tongue swab Xpert sensitivity was 26.9% (95%CI: 11.6–47.8) and specificity 98.8% (95%CI: 97.1–99.6), compared to 55.9% (95%CI: 37.9–72.8) sensitivity and 95.6% (95%CI: 93.3–97.2) specificity for molecular respiratory testing. Using the MRS, sensitivity was 16.0% (95%CI: 7.6–29.7) and specificity was 99.0% (95%CI: 97.2–99.7). The proportion of tongue swabs with an indeterminate/error result was 15.9% (84/528) and varied widely by country (5.4%-43.2%). </w:t>
      </w:r>
    </w:p>
    <w:p w14:paraId="05F92B5D" w14:textId="77777777" w:rsidR="00286D1B" w:rsidRDefault="004B1BBD">
      <w:pPr>
        <w:rPr>
          <w:rFonts w:cstheme="minorHAnsi"/>
          <w:sz w:val="20"/>
          <w:szCs w:val="20"/>
        </w:rPr>
      </w:pPr>
      <w:r>
        <w:rPr>
          <w:rFonts w:cstheme="minorHAnsi"/>
          <w:b/>
          <w:bCs/>
          <w:sz w:val="20"/>
          <w:szCs w:val="20"/>
        </w:rPr>
        <w:t>Conclusions:</w:t>
      </w:r>
      <w:r>
        <w:rPr>
          <w:rFonts w:cstheme="minorHAnsi"/>
          <w:sz w:val="20"/>
          <w:szCs w:val="20"/>
        </w:rPr>
        <w:t xml:space="preserve"> In children with presumptive pulmonary TB, tongue swab Xpert had low sensitivity, lower yield than respiratory testing, and frequent invalid results, indicating the need for optimized tongue swab specific methods.</w:t>
      </w:r>
    </w:p>
    <w:p w14:paraId="430153B8" w14:textId="77777777" w:rsidR="00691E24" w:rsidRDefault="00691E24">
      <w:pPr>
        <w:rPr>
          <w:rFonts w:eastAsia="Times New Roman"/>
          <w:color w:val="000000" w:themeColor="text1"/>
          <w:sz w:val="24"/>
          <w:szCs w:val="24"/>
        </w:rPr>
      </w:pPr>
      <w:r>
        <w:rPr>
          <w:rFonts w:eastAsia="Times New Roman"/>
        </w:rPr>
        <w:br w:type="page"/>
      </w:r>
    </w:p>
    <w:p w14:paraId="24F597E1" w14:textId="77777777" w:rsidR="00286D1B" w:rsidRDefault="004B1BBD">
      <w:pPr>
        <w:pStyle w:val="Heading2"/>
        <w:rPr>
          <w:rFonts w:asciiTheme="minorHAnsi" w:eastAsia="Times New Roman" w:hAnsiTheme="minorHAnsi" w:cstheme="minorBidi"/>
        </w:rPr>
      </w:pPr>
      <w:bookmarkStart w:id="26" w:name="_Toc238729454"/>
      <w:r>
        <w:rPr>
          <w:rFonts w:asciiTheme="minorHAnsi" w:eastAsia="Times New Roman" w:hAnsiTheme="minorHAnsi" w:cstheme="minorBidi"/>
        </w:rPr>
        <w:lastRenderedPageBreak/>
        <w:t>PP-13: Mollie Hudson, University of California San Francisco</w:t>
      </w:r>
      <w:bookmarkEnd w:id="26"/>
    </w:p>
    <w:p w14:paraId="7CD06B00" w14:textId="77777777" w:rsidR="00286D1B" w:rsidRDefault="00286D1B">
      <w:pPr>
        <w:rPr>
          <w:rFonts w:cstheme="minorHAnsi"/>
          <w:sz w:val="20"/>
          <w:szCs w:val="20"/>
        </w:rPr>
      </w:pPr>
    </w:p>
    <w:p w14:paraId="62A5DE27" w14:textId="77777777" w:rsidR="00286D1B" w:rsidRDefault="004B1BBD">
      <w:pPr>
        <w:rPr>
          <w:rFonts w:cstheme="minorHAnsi"/>
          <w:sz w:val="24"/>
          <w:szCs w:val="24"/>
        </w:rPr>
      </w:pPr>
      <w:r>
        <w:rPr>
          <w:rFonts w:cstheme="minorHAnsi"/>
          <w:b/>
          <w:bCs/>
          <w:sz w:val="24"/>
          <w:szCs w:val="24"/>
        </w:rPr>
        <w:t>Costs associated with implementing tuberculosis-sensitive conditional cash transfers through the Bolsa Familia Program</w:t>
      </w:r>
    </w:p>
    <w:p w14:paraId="10486174" w14:textId="77777777" w:rsidR="00286D1B" w:rsidRDefault="004B1BBD">
      <w:pPr>
        <w:rPr>
          <w:rFonts w:cstheme="minorHAnsi"/>
          <w:sz w:val="20"/>
          <w:szCs w:val="20"/>
        </w:rPr>
      </w:pPr>
      <w:r>
        <w:rPr>
          <w:rFonts w:cstheme="minorHAnsi"/>
          <w:sz w:val="20"/>
          <w:szCs w:val="20"/>
        </w:rPr>
        <w:t>Mollie Hudson, University of California San Francisco</w:t>
      </w:r>
    </w:p>
    <w:p w14:paraId="43CF461A" w14:textId="77777777" w:rsidR="00286D1B" w:rsidRDefault="004B1BBD">
      <w:pPr>
        <w:rPr>
          <w:rFonts w:eastAsia="Aptos" w:cstheme="minorHAnsi"/>
          <w:sz w:val="20"/>
        </w:rPr>
      </w:pPr>
      <w:r>
        <w:rPr>
          <w:rFonts w:eastAsia="Aptos" w:cstheme="minorHAnsi"/>
          <w:sz w:val="20"/>
        </w:rPr>
        <w:t xml:space="preserve">Email: </w:t>
      </w:r>
      <w:hyperlink r:id="rId32" w:history="1">
        <w:r>
          <w:rPr>
            <w:rStyle w:val="Hyperlink"/>
            <w:rFonts w:eastAsia="Aptos" w:cstheme="minorHAnsi"/>
            <w:sz w:val="20"/>
          </w:rPr>
          <w:t>mollie.hudson@ucsf.edu</w:t>
        </w:r>
      </w:hyperlink>
    </w:p>
    <w:p w14:paraId="01C13EAC" w14:textId="77777777" w:rsidR="00286D1B" w:rsidRDefault="00286D1B">
      <w:pPr>
        <w:rPr>
          <w:rFonts w:cstheme="minorHAnsi"/>
          <w:sz w:val="20"/>
          <w:szCs w:val="20"/>
        </w:rPr>
      </w:pPr>
    </w:p>
    <w:p w14:paraId="6D8DFD2F" w14:textId="77777777" w:rsidR="00286D1B" w:rsidRDefault="004B1BBD">
      <w:pPr>
        <w:rPr>
          <w:rFonts w:cstheme="minorHAnsi"/>
          <w:sz w:val="20"/>
          <w:szCs w:val="20"/>
        </w:rPr>
      </w:pPr>
      <w:r>
        <w:rPr>
          <w:rFonts w:cstheme="minorHAnsi"/>
          <w:sz w:val="20"/>
          <w:szCs w:val="20"/>
        </w:rPr>
        <w:t>Mollie Hudson</w:t>
      </w:r>
      <w:r>
        <w:rPr>
          <w:rFonts w:cs="Calibri (Body)"/>
          <w:sz w:val="18"/>
          <w:szCs w:val="18"/>
          <w:vertAlign w:val="superscript"/>
        </w:rPr>
        <w:t>1</w:t>
      </w:r>
      <w:r>
        <w:rPr>
          <w:rFonts w:cstheme="minorHAnsi"/>
          <w:sz w:val="20"/>
          <w:szCs w:val="20"/>
        </w:rPr>
        <w:t>; Raul Ristow Krauser</w:t>
      </w:r>
      <w:r>
        <w:rPr>
          <w:rFonts w:cs="Calibri (Body)"/>
          <w:sz w:val="18"/>
          <w:szCs w:val="18"/>
          <w:vertAlign w:val="superscript"/>
        </w:rPr>
        <w:t>2</w:t>
      </w:r>
      <w:r>
        <w:rPr>
          <w:rFonts w:cstheme="minorHAnsi"/>
          <w:sz w:val="20"/>
          <w:szCs w:val="20"/>
        </w:rPr>
        <w:t>; Ada Kwan</w:t>
      </w:r>
      <w:r>
        <w:rPr>
          <w:rFonts w:cs="Calibri (Body)"/>
          <w:sz w:val="18"/>
          <w:szCs w:val="18"/>
          <w:vertAlign w:val="superscript"/>
        </w:rPr>
        <w:t>1</w:t>
      </w:r>
      <w:r>
        <w:rPr>
          <w:rFonts w:cstheme="minorHAnsi"/>
          <w:sz w:val="20"/>
          <w:szCs w:val="20"/>
        </w:rPr>
        <w:t>; Delia Boccia</w:t>
      </w:r>
      <w:r>
        <w:rPr>
          <w:rFonts w:cs="Calibri (Body)"/>
          <w:sz w:val="18"/>
          <w:szCs w:val="18"/>
          <w:vertAlign w:val="superscript"/>
        </w:rPr>
        <w:t>3</w:t>
      </w:r>
      <w:r>
        <w:rPr>
          <w:rFonts w:cstheme="minorHAnsi"/>
          <w:sz w:val="20"/>
          <w:szCs w:val="20"/>
        </w:rPr>
        <w:t>; Priya B. Shete</w:t>
      </w:r>
      <w:r>
        <w:rPr>
          <w:rFonts w:cs="Calibri (Body)"/>
          <w:sz w:val="18"/>
          <w:szCs w:val="18"/>
          <w:vertAlign w:val="superscript"/>
        </w:rPr>
        <w:t>1</w:t>
      </w:r>
    </w:p>
    <w:p w14:paraId="7B36F6D3" w14:textId="77777777" w:rsidR="00286D1B" w:rsidRDefault="004B1BBD">
      <w:pPr>
        <w:spacing w:line="240" w:lineRule="auto"/>
        <w:contextualSpacing/>
        <w:rPr>
          <w:rFonts w:cstheme="minorHAnsi"/>
          <w:sz w:val="18"/>
          <w:szCs w:val="18"/>
        </w:rPr>
      </w:pPr>
      <w:r>
        <w:rPr>
          <w:rFonts w:cs="Calibri (Body)"/>
          <w:sz w:val="18"/>
          <w:szCs w:val="18"/>
          <w:vertAlign w:val="superscript"/>
        </w:rPr>
        <w:t>1</w:t>
      </w:r>
      <w:r>
        <w:rPr>
          <w:rFonts w:cstheme="minorHAnsi"/>
          <w:sz w:val="18"/>
          <w:szCs w:val="18"/>
        </w:rPr>
        <w:t xml:space="preserve"> University of California San Francisco, San Francisco, California</w:t>
      </w:r>
    </w:p>
    <w:p w14:paraId="06A7EC13" w14:textId="77777777" w:rsidR="00286D1B" w:rsidRDefault="004B1BBD">
      <w:pPr>
        <w:spacing w:line="240" w:lineRule="auto"/>
        <w:contextualSpacing/>
        <w:rPr>
          <w:rFonts w:cstheme="minorHAnsi"/>
          <w:sz w:val="18"/>
          <w:szCs w:val="18"/>
        </w:rPr>
      </w:pPr>
      <w:r>
        <w:rPr>
          <w:rFonts w:cs="Calibri (Body)"/>
          <w:sz w:val="18"/>
          <w:szCs w:val="18"/>
          <w:vertAlign w:val="superscript"/>
        </w:rPr>
        <w:t>2</w:t>
      </w:r>
      <w:r>
        <w:rPr>
          <w:rFonts w:cstheme="minorHAnsi"/>
          <w:sz w:val="18"/>
          <w:szCs w:val="18"/>
        </w:rPr>
        <w:t xml:space="preserve"> Federal Executive Branch &amp; Federal Senate, Federal Government of Brazil, Brasilia, Brazil</w:t>
      </w:r>
    </w:p>
    <w:p w14:paraId="73184C46" w14:textId="77777777" w:rsidR="00286D1B" w:rsidRDefault="004B1BBD">
      <w:pPr>
        <w:spacing w:line="240" w:lineRule="auto"/>
        <w:contextualSpacing/>
        <w:rPr>
          <w:rFonts w:cstheme="minorHAnsi"/>
          <w:sz w:val="18"/>
          <w:szCs w:val="18"/>
        </w:rPr>
      </w:pPr>
      <w:r>
        <w:rPr>
          <w:rFonts w:cs="Calibri (Body)"/>
          <w:sz w:val="18"/>
          <w:szCs w:val="18"/>
          <w:vertAlign w:val="superscript"/>
        </w:rPr>
        <w:t>3</w:t>
      </w:r>
      <w:r>
        <w:rPr>
          <w:rFonts w:cstheme="minorHAnsi"/>
          <w:sz w:val="18"/>
          <w:szCs w:val="18"/>
        </w:rPr>
        <w:t xml:space="preserve"> Department of Medical Sciences, University of Turin, Italy</w:t>
      </w:r>
    </w:p>
    <w:p w14:paraId="0632FC30" w14:textId="77777777" w:rsidR="00286D1B" w:rsidRDefault="00286D1B">
      <w:pPr>
        <w:rPr>
          <w:rFonts w:cstheme="minorHAnsi"/>
          <w:sz w:val="20"/>
          <w:szCs w:val="20"/>
        </w:rPr>
      </w:pPr>
    </w:p>
    <w:p w14:paraId="6D018059" w14:textId="77777777" w:rsidR="00286D1B" w:rsidRDefault="004B1BBD">
      <w:pPr>
        <w:rPr>
          <w:rFonts w:cstheme="minorHAnsi"/>
          <w:sz w:val="20"/>
          <w:szCs w:val="20"/>
        </w:rPr>
      </w:pPr>
      <w:r>
        <w:rPr>
          <w:rFonts w:cstheme="minorHAnsi"/>
          <w:b/>
          <w:bCs/>
          <w:sz w:val="20"/>
          <w:szCs w:val="20"/>
        </w:rPr>
        <w:t>Background:</w:t>
      </w:r>
      <w:r>
        <w:rPr>
          <w:rFonts w:cstheme="minorHAnsi"/>
          <w:sz w:val="20"/>
          <w:szCs w:val="20"/>
        </w:rPr>
        <w:t xml:space="preserve"> The Bolsa Familia Program (BFP), one of the world’s largest conditional cash </w:t>
      </w:r>
      <w:proofErr w:type="gramStart"/>
      <w:r>
        <w:rPr>
          <w:rFonts w:cstheme="minorHAnsi"/>
          <w:sz w:val="20"/>
          <w:szCs w:val="20"/>
        </w:rPr>
        <w:t>transfer</w:t>
      </w:r>
      <w:proofErr w:type="gramEnd"/>
      <w:r>
        <w:rPr>
          <w:rFonts w:cstheme="minorHAnsi"/>
          <w:sz w:val="20"/>
          <w:szCs w:val="20"/>
        </w:rPr>
        <w:t xml:space="preserve"> (CCT) programs, has been shown to reduce TB incidence and mortality. However, the costs of implementing BFP as a TB-specific CCT have not been evaluated. We estimated the administrative costs of BFP to inform its efficiency and potential scalability for all TB affected people.</w:t>
      </w:r>
    </w:p>
    <w:p w14:paraId="6DA5B809" w14:textId="77777777" w:rsidR="00286D1B" w:rsidRDefault="004B1BBD">
      <w:pPr>
        <w:rPr>
          <w:rFonts w:cstheme="minorHAnsi"/>
          <w:sz w:val="20"/>
          <w:szCs w:val="20"/>
        </w:rPr>
      </w:pPr>
      <w:r>
        <w:rPr>
          <w:rFonts w:cstheme="minorHAnsi"/>
          <w:b/>
          <w:bCs/>
          <w:sz w:val="20"/>
          <w:szCs w:val="20"/>
        </w:rPr>
        <w:t>Methods:</w:t>
      </w:r>
      <w:r>
        <w:rPr>
          <w:rFonts w:cstheme="minorHAnsi"/>
          <w:sz w:val="20"/>
          <w:szCs w:val="20"/>
        </w:rPr>
        <w:t xml:space="preserve"> We conducted a retrospective financial costing analysis from the federal government perspective using data from the Brazilian Federal Budget Dashboard (Painel do Orçamento Federal, 2016-2019), identifying expenditures related to BFP implementation, including decentralized management, administrative operations, staff training, information systems, and reporting. Costs in Brazilian reals (BRL) were adjusted using the Brazilian price index, adjusted for inflation to 2019 United States dollars (USD), and expressed per beneficiary-month. We used published literature and global TB surveillance reports to estimate TB incidence rates among BFP and non-BFP recipients.</w:t>
      </w:r>
    </w:p>
    <w:p w14:paraId="09922C15" w14:textId="77777777" w:rsidR="00286D1B" w:rsidRDefault="004B1BBD">
      <w:pPr>
        <w:rPr>
          <w:rFonts w:cstheme="minorHAnsi"/>
          <w:sz w:val="20"/>
          <w:szCs w:val="20"/>
        </w:rPr>
      </w:pPr>
      <w:r>
        <w:rPr>
          <w:rFonts w:cstheme="minorHAnsi"/>
          <w:b/>
          <w:bCs/>
          <w:sz w:val="20"/>
          <w:szCs w:val="20"/>
        </w:rPr>
        <w:t>Results:</w:t>
      </w:r>
      <w:r>
        <w:rPr>
          <w:rFonts w:cstheme="minorHAnsi"/>
          <w:sz w:val="20"/>
          <w:szCs w:val="20"/>
        </w:rPr>
        <w:t xml:space="preserve"> Provision of benefits to individuals with incident TB already enrolled in BFP costs approximately $13,413,516 USD annually, 0.044% of the total $30,768,400,000 USD budget. Two budget codes captured core BFP implementation costs: Support Service for Decentralized Management (8446) and Improvement of Management Mechanisms and Information Dissemination (20IT). These comprise an average of $0.26 USD per individual per month, less than 0.0004% of the total BFP budget. Costs of expanding BFP to all individuals with incident TB in Brazil would cost an additional estimated $235,766 per year in administrative costs, and an estimated $32,009,758 per year for with the CCT, 0.10% of the current annual BFP budget.</w:t>
      </w:r>
    </w:p>
    <w:p w14:paraId="47B1CA04" w14:textId="77777777" w:rsidR="00286D1B" w:rsidRDefault="004B1BBD">
      <w:pPr>
        <w:rPr>
          <w:rFonts w:cstheme="minorHAnsi"/>
          <w:sz w:val="20"/>
          <w:szCs w:val="20"/>
        </w:rPr>
      </w:pPr>
      <w:r>
        <w:rPr>
          <w:rFonts w:cstheme="minorHAnsi"/>
          <w:b/>
          <w:bCs/>
          <w:sz w:val="20"/>
          <w:szCs w:val="20"/>
        </w:rPr>
        <w:t>Discussion:</w:t>
      </w:r>
      <w:r>
        <w:rPr>
          <w:rFonts w:cstheme="minorHAnsi"/>
          <w:sz w:val="20"/>
          <w:szCs w:val="20"/>
        </w:rPr>
        <w:t xml:space="preserve"> Administrative implementation costs associated BFP are modest relative to the CCT itself. Expanding BFP to cover all individuals with incident TB would increase the BFP budget by approximately 0.10%. These findings provide a preliminary budget benchmark and approach for TB programs evaluating expansion of CCTs for TB affected people.</w:t>
      </w:r>
    </w:p>
    <w:p w14:paraId="0A9FD1A0" w14:textId="77777777" w:rsidR="00691E24" w:rsidRDefault="00691E24">
      <w:pPr>
        <w:rPr>
          <w:rFonts w:eastAsia="Times New Roman"/>
          <w:color w:val="000000" w:themeColor="text1"/>
          <w:sz w:val="24"/>
          <w:szCs w:val="24"/>
        </w:rPr>
      </w:pPr>
      <w:r>
        <w:rPr>
          <w:rFonts w:eastAsia="Times New Roman"/>
        </w:rPr>
        <w:br w:type="page"/>
      </w:r>
    </w:p>
    <w:p w14:paraId="30399642" w14:textId="77777777" w:rsidR="00286D1B" w:rsidRDefault="004B1BBD">
      <w:pPr>
        <w:pStyle w:val="Heading2"/>
        <w:rPr>
          <w:rFonts w:asciiTheme="minorHAnsi" w:eastAsia="Times New Roman" w:hAnsiTheme="minorHAnsi" w:cstheme="minorBidi"/>
        </w:rPr>
      </w:pPr>
      <w:bookmarkStart w:id="27" w:name="_Toc238729455"/>
      <w:r>
        <w:rPr>
          <w:rFonts w:asciiTheme="minorHAnsi" w:eastAsia="Times New Roman" w:hAnsiTheme="minorHAnsi" w:cstheme="minorBidi"/>
        </w:rPr>
        <w:lastRenderedPageBreak/>
        <w:t>PP-14: Taranom Javid, UC Berkeley</w:t>
      </w:r>
      <w:bookmarkEnd w:id="27"/>
    </w:p>
    <w:p w14:paraId="2C461F1F" w14:textId="77777777" w:rsidR="00286D1B" w:rsidRDefault="00286D1B">
      <w:pPr>
        <w:rPr>
          <w:rFonts w:cstheme="minorHAnsi"/>
          <w:sz w:val="20"/>
          <w:szCs w:val="20"/>
        </w:rPr>
      </w:pPr>
    </w:p>
    <w:p w14:paraId="1924A422" w14:textId="77777777" w:rsidR="00286D1B" w:rsidRDefault="004B1BBD">
      <w:pPr>
        <w:rPr>
          <w:rFonts w:cstheme="minorHAnsi"/>
          <w:sz w:val="24"/>
          <w:szCs w:val="24"/>
        </w:rPr>
      </w:pPr>
      <w:r>
        <w:rPr>
          <w:rFonts w:cstheme="minorHAnsi"/>
          <w:b/>
          <w:bCs/>
          <w:sz w:val="24"/>
          <w:szCs w:val="24"/>
        </w:rPr>
        <w:t>Investigation of mmpL-dependent lipooligosaccharide transport in M. smegmatis</w:t>
      </w:r>
    </w:p>
    <w:p w14:paraId="2DB964D9" w14:textId="77777777" w:rsidR="00286D1B" w:rsidRDefault="004B1BBD">
      <w:pPr>
        <w:rPr>
          <w:rFonts w:cstheme="minorHAnsi"/>
          <w:sz w:val="20"/>
          <w:szCs w:val="20"/>
        </w:rPr>
      </w:pPr>
      <w:r>
        <w:rPr>
          <w:rFonts w:cstheme="minorHAnsi"/>
          <w:sz w:val="20"/>
          <w:szCs w:val="20"/>
        </w:rPr>
        <w:t>Taranom Javid, UC Berkeley</w:t>
      </w:r>
    </w:p>
    <w:p w14:paraId="3C5EB106" w14:textId="77777777" w:rsidR="00286D1B" w:rsidRDefault="004B1BBD">
      <w:pPr>
        <w:rPr>
          <w:rFonts w:eastAsia="Aptos" w:cstheme="minorHAnsi"/>
          <w:sz w:val="20"/>
        </w:rPr>
      </w:pPr>
      <w:r>
        <w:rPr>
          <w:rFonts w:eastAsia="Aptos" w:cstheme="minorHAnsi"/>
          <w:sz w:val="20"/>
        </w:rPr>
        <w:t xml:space="preserve">Email: </w:t>
      </w:r>
      <w:hyperlink r:id="rId33" w:history="1">
        <w:r>
          <w:rPr>
            <w:rStyle w:val="Hyperlink"/>
            <w:rFonts w:eastAsia="Aptos" w:cstheme="minorHAnsi"/>
            <w:sz w:val="20"/>
          </w:rPr>
          <w:t>taranomcjavid@gmail.com</w:t>
        </w:r>
      </w:hyperlink>
    </w:p>
    <w:p w14:paraId="17BA0501" w14:textId="77777777" w:rsidR="00286D1B" w:rsidRDefault="00286D1B">
      <w:pPr>
        <w:rPr>
          <w:rFonts w:cstheme="minorHAnsi"/>
          <w:sz w:val="20"/>
          <w:szCs w:val="20"/>
        </w:rPr>
      </w:pPr>
    </w:p>
    <w:p w14:paraId="565EB853" w14:textId="77777777" w:rsidR="00286D1B" w:rsidRDefault="004B1BBD">
      <w:pPr>
        <w:rPr>
          <w:rFonts w:cstheme="minorHAnsi"/>
          <w:sz w:val="20"/>
          <w:szCs w:val="20"/>
        </w:rPr>
      </w:pPr>
      <w:r>
        <w:rPr>
          <w:rFonts w:cstheme="minorHAnsi"/>
          <w:sz w:val="20"/>
          <w:szCs w:val="20"/>
        </w:rPr>
        <w:t>Javid, Taranom; Rae, Christopher; Cox, Jeffery</w:t>
      </w:r>
    </w:p>
    <w:p w14:paraId="0AD23481" w14:textId="77777777" w:rsidR="00286D1B" w:rsidRDefault="004B1BBD">
      <w:pPr>
        <w:spacing w:line="240" w:lineRule="auto"/>
        <w:contextualSpacing/>
        <w:rPr>
          <w:rFonts w:cstheme="minorHAnsi"/>
          <w:sz w:val="18"/>
          <w:szCs w:val="18"/>
        </w:rPr>
      </w:pPr>
      <w:r>
        <w:rPr>
          <w:rFonts w:cstheme="minorHAnsi"/>
          <w:sz w:val="18"/>
          <w:szCs w:val="18"/>
        </w:rPr>
        <w:t>UC Berkeley</w:t>
      </w:r>
    </w:p>
    <w:p w14:paraId="3D34DF01" w14:textId="77777777" w:rsidR="00286D1B" w:rsidRDefault="00286D1B">
      <w:pPr>
        <w:rPr>
          <w:rFonts w:cstheme="minorHAnsi"/>
          <w:sz w:val="20"/>
          <w:szCs w:val="20"/>
        </w:rPr>
      </w:pPr>
    </w:p>
    <w:p w14:paraId="305BEE4C" w14:textId="77777777" w:rsidR="00286D1B" w:rsidRDefault="004B1BBD">
      <w:pPr>
        <w:rPr>
          <w:rFonts w:cstheme="minorHAnsi"/>
          <w:sz w:val="20"/>
          <w:szCs w:val="20"/>
        </w:rPr>
      </w:pPr>
      <w:r>
        <w:rPr>
          <w:rFonts w:cstheme="minorHAnsi"/>
          <w:sz w:val="20"/>
          <w:szCs w:val="20"/>
        </w:rPr>
        <w:t xml:space="preserve">Lipid transport is a crucial virulence strategy of M. tuberculosis. Previous research shows that the lipid transporter mmpL4 is required for virulence in a murine infection model. However, the mechanism of lipid transport in mycobacteria remains unclear. We used bacterial genetics in the model mycobacteria M. smegmatis to study components of the transport process. We specifically investigated the transport of the glycolipid lipooligosaccharide (LOS) to the mycobacterial outer membrane through mmpLs. In M. smegmatis, mmpL4 is associated with the transport of glycopeptidolipids (GPL) to the outer membrane, so we suspected that LOS may follow the same pathway. We created knockouts of several genes and observed the phenotypic change in the outer membrane representative of the presence of LOS. We found that mmpL4 is unlikely to play a role in LOS </w:t>
      </w:r>
      <w:proofErr w:type="gramStart"/>
      <w:r>
        <w:rPr>
          <w:rFonts w:cstheme="minorHAnsi"/>
          <w:sz w:val="20"/>
          <w:szCs w:val="20"/>
        </w:rPr>
        <w:t>transport, and</w:t>
      </w:r>
      <w:proofErr w:type="gramEnd"/>
      <w:r>
        <w:rPr>
          <w:rFonts w:cstheme="minorHAnsi"/>
          <w:sz w:val="20"/>
          <w:szCs w:val="20"/>
        </w:rPr>
        <w:t xml:space="preserve"> are now investigating the homologous mmpL10 membrane protein as well as other accessory factors thought to be involved in lipid transport.</w:t>
      </w:r>
    </w:p>
    <w:p w14:paraId="51D1B7A5" w14:textId="77777777" w:rsidR="00691E24" w:rsidRDefault="00691E24">
      <w:pPr>
        <w:rPr>
          <w:rFonts w:eastAsia="Times New Roman"/>
          <w:color w:val="000000" w:themeColor="text1"/>
          <w:sz w:val="24"/>
          <w:szCs w:val="24"/>
        </w:rPr>
      </w:pPr>
      <w:r>
        <w:rPr>
          <w:rFonts w:eastAsia="Times New Roman"/>
        </w:rPr>
        <w:br w:type="page"/>
      </w:r>
    </w:p>
    <w:p w14:paraId="757F0D34" w14:textId="77777777" w:rsidR="00286D1B" w:rsidRDefault="004B1BBD">
      <w:pPr>
        <w:pStyle w:val="Heading2"/>
        <w:rPr>
          <w:rFonts w:asciiTheme="minorHAnsi" w:eastAsia="Times New Roman" w:hAnsiTheme="minorHAnsi" w:cstheme="minorBidi"/>
        </w:rPr>
      </w:pPr>
      <w:bookmarkStart w:id="28" w:name="_Toc238729456"/>
      <w:r>
        <w:rPr>
          <w:rFonts w:asciiTheme="minorHAnsi" w:eastAsia="Times New Roman" w:hAnsiTheme="minorHAnsi" w:cstheme="minorBidi"/>
        </w:rPr>
        <w:lastRenderedPageBreak/>
        <w:t>PP-15: Jillian Kadota, UCSF</w:t>
      </w:r>
      <w:bookmarkEnd w:id="28"/>
    </w:p>
    <w:p w14:paraId="262A830C" w14:textId="77777777" w:rsidR="00286D1B" w:rsidRDefault="00286D1B">
      <w:pPr>
        <w:rPr>
          <w:rFonts w:cstheme="minorHAnsi"/>
          <w:sz w:val="20"/>
          <w:szCs w:val="20"/>
        </w:rPr>
      </w:pPr>
    </w:p>
    <w:p w14:paraId="47F22047" w14:textId="77777777" w:rsidR="00286D1B" w:rsidRDefault="004B1BBD">
      <w:pPr>
        <w:rPr>
          <w:rFonts w:cstheme="minorHAnsi"/>
          <w:sz w:val="24"/>
          <w:szCs w:val="24"/>
        </w:rPr>
      </w:pPr>
      <w:r>
        <w:rPr>
          <w:rFonts w:cstheme="minorHAnsi"/>
          <w:b/>
          <w:bCs/>
          <w:sz w:val="24"/>
          <w:szCs w:val="24"/>
        </w:rPr>
        <w:t>Unmet social and nutritional needs among children initiating tuberculosis treatment in Uganda</w:t>
      </w:r>
    </w:p>
    <w:p w14:paraId="2ECD111F" w14:textId="77777777" w:rsidR="00286D1B" w:rsidRDefault="004B1BBD">
      <w:pPr>
        <w:rPr>
          <w:rFonts w:cstheme="minorHAnsi"/>
          <w:sz w:val="20"/>
          <w:szCs w:val="20"/>
        </w:rPr>
      </w:pPr>
      <w:r>
        <w:rPr>
          <w:rFonts w:cstheme="minorHAnsi"/>
          <w:sz w:val="20"/>
          <w:szCs w:val="20"/>
        </w:rPr>
        <w:t>Jillian Kadota, UCSF</w:t>
      </w:r>
    </w:p>
    <w:p w14:paraId="0C169720" w14:textId="77777777" w:rsidR="00286D1B" w:rsidRDefault="004B1BBD">
      <w:pPr>
        <w:rPr>
          <w:rFonts w:eastAsia="Aptos" w:cstheme="minorHAnsi"/>
          <w:sz w:val="20"/>
        </w:rPr>
      </w:pPr>
      <w:r>
        <w:rPr>
          <w:rFonts w:eastAsia="Aptos" w:cstheme="minorHAnsi"/>
          <w:sz w:val="20"/>
        </w:rPr>
        <w:t xml:space="preserve">Email: </w:t>
      </w:r>
      <w:hyperlink r:id="rId34" w:history="1">
        <w:r>
          <w:rPr>
            <w:rStyle w:val="Hyperlink"/>
            <w:rFonts w:eastAsia="Aptos" w:cstheme="minorHAnsi"/>
            <w:sz w:val="20"/>
          </w:rPr>
          <w:t>jillian.kadota@ucsf.edu</w:t>
        </w:r>
      </w:hyperlink>
    </w:p>
    <w:p w14:paraId="59B05754" w14:textId="77777777" w:rsidR="00286D1B" w:rsidRDefault="00286D1B">
      <w:pPr>
        <w:rPr>
          <w:rFonts w:cstheme="minorHAnsi"/>
          <w:sz w:val="20"/>
          <w:szCs w:val="20"/>
        </w:rPr>
      </w:pPr>
    </w:p>
    <w:p w14:paraId="5D130DE7" w14:textId="77777777" w:rsidR="00286D1B" w:rsidRDefault="004B1BBD">
      <w:pPr>
        <w:rPr>
          <w:rFonts w:cstheme="minorHAnsi"/>
          <w:sz w:val="20"/>
          <w:szCs w:val="20"/>
        </w:rPr>
      </w:pPr>
      <w:r>
        <w:rPr>
          <w:rFonts w:cstheme="minorHAnsi"/>
          <w:sz w:val="20"/>
          <w:szCs w:val="20"/>
        </w:rPr>
        <w:t>Kadota, Jillian L</w:t>
      </w:r>
      <w:r>
        <w:rPr>
          <w:rFonts w:cs="Calibri (Body)"/>
          <w:sz w:val="18"/>
          <w:szCs w:val="18"/>
          <w:vertAlign w:val="superscript"/>
        </w:rPr>
        <w:t>1</w:t>
      </w:r>
      <w:r>
        <w:rPr>
          <w:rFonts w:cstheme="minorHAnsi"/>
          <w:sz w:val="20"/>
          <w:szCs w:val="20"/>
        </w:rPr>
        <w:t>*; Nanyunja, Grace</w:t>
      </w:r>
      <w:r>
        <w:rPr>
          <w:rFonts w:cs="Calibri (Body)"/>
          <w:sz w:val="18"/>
          <w:szCs w:val="18"/>
          <w:vertAlign w:val="superscript"/>
        </w:rPr>
        <w:t>2</w:t>
      </w:r>
      <w:r>
        <w:rPr>
          <w:rFonts w:cstheme="minorHAnsi"/>
          <w:sz w:val="20"/>
          <w:szCs w:val="20"/>
        </w:rPr>
        <w:t>*; Amanya, Geofrey</w:t>
      </w:r>
      <w:r>
        <w:rPr>
          <w:rFonts w:cs="Calibri (Body)"/>
          <w:sz w:val="18"/>
          <w:szCs w:val="18"/>
          <w:vertAlign w:val="superscript"/>
        </w:rPr>
        <w:t>3</w:t>
      </w:r>
      <w:r>
        <w:rPr>
          <w:rFonts w:cstheme="minorHAnsi"/>
          <w:sz w:val="20"/>
          <w:szCs w:val="20"/>
        </w:rPr>
        <w:t>; Katamba, Achilles</w:t>
      </w:r>
      <w:r>
        <w:rPr>
          <w:rFonts w:cs="Calibri (Body)"/>
          <w:sz w:val="18"/>
          <w:szCs w:val="18"/>
          <w:vertAlign w:val="superscript"/>
        </w:rPr>
        <w:t>2,4</w:t>
      </w:r>
      <w:r>
        <w:rPr>
          <w:rFonts w:cstheme="minorHAnsi"/>
          <w:sz w:val="20"/>
          <w:szCs w:val="20"/>
        </w:rPr>
        <w:t>; Luzze, Henry</w:t>
      </w:r>
      <w:r>
        <w:rPr>
          <w:rFonts w:cs="Calibri (Body)"/>
          <w:sz w:val="18"/>
          <w:szCs w:val="18"/>
          <w:vertAlign w:val="superscript"/>
        </w:rPr>
        <w:t>3</w:t>
      </w:r>
      <w:r>
        <w:rPr>
          <w:rFonts w:cstheme="minorHAnsi"/>
          <w:sz w:val="20"/>
          <w:szCs w:val="20"/>
        </w:rPr>
        <w:t>; Sekadde, Moorine</w:t>
      </w:r>
      <w:r>
        <w:rPr>
          <w:rFonts w:cs="Calibri (Body)"/>
          <w:sz w:val="18"/>
          <w:szCs w:val="18"/>
          <w:vertAlign w:val="superscript"/>
        </w:rPr>
        <w:t>3</w:t>
      </w:r>
      <w:r>
        <w:rPr>
          <w:rFonts w:cstheme="minorHAnsi"/>
          <w:sz w:val="20"/>
          <w:szCs w:val="20"/>
        </w:rPr>
        <w:t>; Jaganath, Devan</w:t>
      </w:r>
      <w:r>
        <w:rPr>
          <w:rFonts w:cs="Calibri (Body)"/>
          <w:sz w:val="18"/>
          <w:szCs w:val="18"/>
          <w:vertAlign w:val="superscript"/>
        </w:rPr>
        <w:t>1</w:t>
      </w:r>
      <w:r>
        <w:rPr>
          <w:rFonts w:cstheme="minorHAnsi"/>
          <w:sz w:val="20"/>
          <w:szCs w:val="20"/>
        </w:rPr>
        <w:t>; Shete, Priya B</w:t>
      </w:r>
      <w:r>
        <w:rPr>
          <w:rFonts w:cs="Calibri (Body)"/>
          <w:sz w:val="18"/>
          <w:szCs w:val="18"/>
          <w:vertAlign w:val="superscript"/>
        </w:rPr>
        <w:t>1</w:t>
      </w:r>
    </w:p>
    <w:p w14:paraId="3F092F55" w14:textId="77777777" w:rsidR="00286D1B" w:rsidRDefault="004B1BBD">
      <w:pPr>
        <w:spacing w:line="240" w:lineRule="auto"/>
        <w:contextualSpacing/>
        <w:rPr>
          <w:rFonts w:cstheme="minorHAnsi"/>
          <w:sz w:val="18"/>
          <w:szCs w:val="18"/>
        </w:rPr>
      </w:pPr>
      <w:r>
        <w:rPr>
          <w:rFonts w:cs="Calibri (Body)"/>
          <w:sz w:val="18"/>
          <w:szCs w:val="18"/>
          <w:vertAlign w:val="superscript"/>
        </w:rPr>
        <w:t>1</w:t>
      </w:r>
      <w:r>
        <w:rPr>
          <w:rFonts w:cstheme="minorHAnsi"/>
          <w:sz w:val="18"/>
          <w:szCs w:val="18"/>
        </w:rPr>
        <w:t xml:space="preserve"> University of California San Francisco, San Francisco, California</w:t>
      </w:r>
    </w:p>
    <w:p w14:paraId="5E69B69B" w14:textId="77777777" w:rsidR="00286D1B" w:rsidRDefault="004B1BBD">
      <w:pPr>
        <w:spacing w:line="240" w:lineRule="auto"/>
        <w:contextualSpacing/>
        <w:rPr>
          <w:rFonts w:cstheme="minorHAnsi"/>
          <w:sz w:val="18"/>
          <w:szCs w:val="18"/>
        </w:rPr>
      </w:pPr>
      <w:r>
        <w:rPr>
          <w:rFonts w:cs="Calibri (Body)"/>
          <w:sz w:val="18"/>
          <w:szCs w:val="18"/>
          <w:vertAlign w:val="superscript"/>
        </w:rPr>
        <w:t>2</w:t>
      </w:r>
      <w:r>
        <w:rPr>
          <w:rFonts w:cstheme="minorHAnsi"/>
          <w:sz w:val="18"/>
          <w:szCs w:val="18"/>
        </w:rPr>
        <w:t xml:space="preserve"> Uganda Tuberculosis Implementation Research Consortium, Walimu, Kampala, Uganda</w:t>
      </w:r>
    </w:p>
    <w:p w14:paraId="188F3346" w14:textId="77777777" w:rsidR="00286D1B" w:rsidRDefault="004B1BBD">
      <w:pPr>
        <w:spacing w:line="240" w:lineRule="auto"/>
        <w:contextualSpacing/>
        <w:rPr>
          <w:rFonts w:cstheme="minorHAnsi"/>
          <w:sz w:val="18"/>
          <w:szCs w:val="18"/>
        </w:rPr>
      </w:pPr>
      <w:r>
        <w:rPr>
          <w:rFonts w:cs="Calibri (Body)"/>
          <w:sz w:val="18"/>
          <w:szCs w:val="18"/>
          <w:vertAlign w:val="superscript"/>
        </w:rPr>
        <w:t>3</w:t>
      </w:r>
      <w:r>
        <w:rPr>
          <w:rFonts w:cstheme="minorHAnsi"/>
          <w:sz w:val="18"/>
          <w:szCs w:val="18"/>
        </w:rPr>
        <w:t xml:space="preserve"> National Tuberculosis and Leprosy Programme, Ministry of Health, Kampala, Uganda</w:t>
      </w:r>
    </w:p>
    <w:p w14:paraId="48AECB89" w14:textId="77777777" w:rsidR="00286D1B" w:rsidRDefault="004B1BBD">
      <w:pPr>
        <w:spacing w:line="240" w:lineRule="auto"/>
        <w:contextualSpacing/>
        <w:rPr>
          <w:rFonts w:cstheme="minorHAnsi"/>
          <w:sz w:val="18"/>
          <w:szCs w:val="18"/>
        </w:rPr>
      </w:pPr>
      <w:r>
        <w:rPr>
          <w:rFonts w:cs="Calibri (Body)"/>
          <w:sz w:val="18"/>
          <w:szCs w:val="18"/>
          <w:vertAlign w:val="superscript"/>
        </w:rPr>
        <w:t>4</w:t>
      </w:r>
      <w:r>
        <w:rPr>
          <w:rFonts w:cstheme="minorHAnsi"/>
          <w:sz w:val="18"/>
          <w:szCs w:val="18"/>
        </w:rPr>
        <w:t xml:space="preserve"> Makerere University College of Health Sciences, Kampala, Uganda</w:t>
      </w:r>
    </w:p>
    <w:p w14:paraId="74C32F11" w14:textId="77777777" w:rsidR="00286D1B" w:rsidRDefault="00286D1B">
      <w:pPr>
        <w:rPr>
          <w:rFonts w:cstheme="minorHAnsi"/>
          <w:sz w:val="20"/>
          <w:szCs w:val="20"/>
        </w:rPr>
      </w:pPr>
    </w:p>
    <w:p w14:paraId="7EF19961" w14:textId="77777777" w:rsidR="00286D1B" w:rsidRDefault="004B1BBD">
      <w:pPr>
        <w:rPr>
          <w:rFonts w:cstheme="minorHAnsi"/>
          <w:sz w:val="20"/>
          <w:szCs w:val="20"/>
        </w:rPr>
      </w:pPr>
      <w:r>
        <w:rPr>
          <w:rFonts w:cstheme="minorHAnsi"/>
          <w:sz w:val="20"/>
          <w:szCs w:val="20"/>
        </w:rPr>
        <w:t>Children with tuberculosis (TB) in low-resource settings face compounding nutritional and economic vulnerabilities, yet social protection coverage among TB-affected households remains poorly characterized. We assessed unmet social needs among children evaluated for TB in Uganda and household-level change among those initiating treatment.</w:t>
      </w:r>
    </w:p>
    <w:p w14:paraId="15962856" w14:textId="77777777" w:rsidR="00286D1B" w:rsidRDefault="004B1BBD">
      <w:pPr>
        <w:rPr>
          <w:rFonts w:cstheme="minorHAnsi"/>
          <w:sz w:val="20"/>
          <w:szCs w:val="20"/>
        </w:rPr>
      </w:pPr>
      <w:r>
        <w:rPr>
          <w:rFonts w:cstheme="minorHAnsi"/>
          <w:sz w:val="20"/>
          <w:szCs w:val="20"/>
        </w:rPr>
        <w:t>We enrolled children &lt;10 years with presumptive TB at nine health facilities in Wakiso and Kampala districts, Uganda. Caregivers completed a baseline questionnaire capturing the Household Food Insecurity Access Scale, Multidimensional Poverty Index, dissaving behaviors, and social protection access. Children diagnosed with TB per the World Health Organization Treatment Decision Algorithms returned at 2 months for a repeat questionnaire. We compared baseline measures by TB status using chi-squared and Wilcoxon rank-sum tests and described within-household change among those completing follow-up.</w:t>
      </w:r>
    </w:p>
    <w:p w14:paraId="3C9615BA" w14:textId="77777777" w:rsidR="00286D1B" w:rsidRDefault="004B1BBD">
      <w:pPr>
        <w:rPr>
          <w:rFonts w:cstheme="minorHAnsi"/>
          <w:sz w:val="20"/>
          <w:szCs w:val="20"/>
        </w:rPr>
      </w:pPr>
      <w:r>
        <w:rPr>
          <w:rFonts w:cstheme="minorHAnsi"/>
          <w:sz w:val="20"/>
          <w:szCs w:val="20"/>
        </w:rPr>
        <w:t>Of 849 children enrolled from February to August 2025 (median age 3.8 years, interquartile range: 1.9-6.0; 51% female), 84 (10%) were diagnosed with TB. Weight loss was reported in 41% of children and food insecurity in 66% of households at baseline. Food insecurity was more common among children with TB than those without (77% vs. 64%, p=0.02), as was reduced household food consumption (34% vs. 21%, p&lt;0.01). Among 61 treated children, food insecurity remained pervasive (79%), reduced food consumption persisted in 33%, and 28% continued to report dissaving. Only 3 of 84 treated children had access to nutritional support, and TB-treated households were less likely to access any social protection (8% vs. 18%, p=0.03).</w:t>
      </w:r>
    </w:p>
    <w:p w14:paraId="64CC5A08" w14:textId="77777777" w:rsidR="00286D1B" w:rsidRDefault="004B1BBD">
      <w:pPr>
        <w:rPr>
          <w:rFonts w:cstheme="minorHAnsi"/>
          <w:sz w:val="20"/>
          <w:szCs w:val="20"/>
        </w:rPr>
      </w:pPr>
      <w:r>
        <w:rPr>
          <w:rFonts w:cstheme="minorHAnsi"/>
          <w:sz w:val="20"/>
          <w:szCs w:val="20"/>
        </w:rPr>
        <w:t>Children with TB in Uganda come from households with greater and persistent food insecurity and economic strain but less access to social protection. Despite growing consensus on the need for social, economic, and nutritional supports for individuals with TB, findings reveal major gaps in reaching children and underscore the urgent need to expand programs to TB-affected families.</w:t>
      </w:r>
    </w:p>
    <w:p w14:paraId="0EA6E077" w14:textId="77777777" w:rsidR="00691E24" w:rsidRDefault="00691E24">
      <w:pPr>
        <w:rPr>
          <w:rFonts w:eastAsia="Times New Roman"/>
          <w:color w:val="000000" w:themeColor="text1"/>
          <w:sz w:val="24"/>
          <w:szCs w:val="24"/>
        </w:rPr>
      </w:pPr>
      <w:r>
        <w:rPr>
          <w:rFonts w:eastAsia="Times New Roman"/>
        </w:rPr>
        <w:br w:type="page"/>
      </w:r>
    </w:p>
    <w:p w14:paraId="32FDFCDD" w14:textId="77777777" w:rsidR="00286D1B" w:rsidRDefault="004B1BBD">
      <w:pPr>
        <w:pStyle w:val="Heading2"/>
        <w:rPr>
          <w:rFonts w:asciiTheme="minorHAnsi" w:eastAsia="Times New Roman" w:hAnsiTheme="minorHAnsi" w:cstheme="minorBidi"/>
        </w:rPr>
      </w:pPr>
      <w:bookmarkStart w:id="29" w:name="_Toc238729457"/>
      <w:r>
        <w:rPr>
          <w:rFonts w:asciiTheme="minorHAnsi" w:eastAsia="Times New Roman" w:hAnsiTheme="minorHAnsi" w:cstheme="minorBidi"/>
        </w:rPr>
        <w:lastRenderedPageBreak/>
        <w:t>PP-16: Caitlin Moe, UCSF &amp; UCI</w:t>
      </w:r>
      <w:bookmarkEnd w:id="29"/>
    </w:p>
    <w:p w14:paraId="54DA76A3" w14:textId="77777777" w:rsidR="00286D1B" w:rsidRDefault="00286D1B">
      <w:pPr>
        <w:rPr>
          <w:rFonts w:cstheme="minorHAnsi"/>
          <w:sz w:val="20"/>
          <w:szCs w:val="20"/>
        </w:rPr>
      </w:pPr>
    </w:p>
    <w:p w14:paraId="5C062893" w14:textId="77777777" w:rsidR="00286D1B" w:rsidRDefault="004B1BBD">
      <w:pPr>
        <w:rPr>
          <w:rFonts w:cstheme="minorHAnsi"/>
          <w:sz w:val="24"/>
          <w:szCs w:val="24"/>
        </w:rPr>
      </w:pPr>
      <w:r>
        <w:rPr>
          <w:rFonts w:cstheme="minorHAnsi"/>
          <w:b/>
          <w:bCs/>
          <w:sz w:val="24"/>
          <w:szCs w:val="24"/>
        </w:rPr>
        <w:t>Mixed methods evaluation of diagnostic performance and preferences for self-collected tongue swabs for tuberculosis compared to healthcare worker-collected tongue swabs in five high-burden countries</w:t>
      </w:r>
    </w:p>
    <w:p w14:paraId="734F75AD" w14:textId="77777777" w:rsidR="00286D1B" w:rsidRDefault="004B1BBD">
      <w:pPr>
        <w:rPr>
          <w:rFonts w:cstheme="minorHAnsi"/>
          <w:sz w:val="20"/>
          <w:szCs w:val="20"/>
        </w:rPr>
      </w:pPr>
      <w:r>
        <w:rPr>
          <w:rFonts w:cstheme="minorHAnsi"/>
          <w:sz w:val="20"/>
          <w:szCs w:val="20"/>
        </w:rPr>
        <w:t>Caitlin Moe, UCSF &amp; UCI</w:t>
      </w:r>
    </w:p>
    <w:p w14:paraId="4A626BBA" w14:textId="77777777" w:rsidR="00286D1B" w:rsidRDefault="004B1BBD">
      <w:pPr>
        <w:rPr>
          <w:rFonts w:eastAsia="Aptos" w:cstheme="minorHAnsi"/>
          <w:sz w:val="20"/>
        </w:rPr>
      </w:pPr>
      <w:r>
        <w:rPr>
          <w:rFonts w:eastAsia="Aptos" w:cstheme="minorHAnsi"/>
          <w:sz w:val="20"/>
        </w:rPr>
        <w:t xml:space="preserve">Email: </w:t>
      </w:r>
      <w:hyperlink r:id="rId35" w:history="1">
        <w:r>
          <w:rPr>
            <w:rStyle w:val="Hyperlink"/>
            <w:rFonts w:eastAsia="Aptos" w:cstheme="minorHAnsi"/>
            <w:sz w:val="20"/>
          </w:rPr>
          <w:t>caitlin.moe@ucsf.edu</w:t>
        </w:r>
      </w:hyperlink>
    </w:p>
    <w:p w14:paraId="3CCB9E67" w14:textId="77777777" w:rsidR="00286D1B" w:rsidRDefault="00286D1B">
      <w:pPr>
        <w:rPr>
          <w:rFonts w:cstheme="minorHAnsi"/>
          <w:sz w:val="20"/>
          <w:szCs w:val="20"/>
        </w:rPr>
      </w:pPr>
    </w:p>
    <w:p w14:paraId="6A88BB78" w14:textId="77777777" w:rsidR="00286D1B" w:rsidRDefault="004B1BBD">
      <w:pPr>
        <w:rPr>
          <w:rFonts w:cstheme="minorHAnsi"/>
          <w:sz w:val="20"/>
          <w:szCs w:val="20"/>
        </w:rPr>
      </w:pPr>
      <w:r>
        <w:rPr>
          <w:rFonts w:cstheme="minorHAnsi"/>
          <w:sz w:val="20"/>
          <w:szCs w:val="20"/>
        </w:rPr>
        <w:t>Caitlin Moe</w:t>
      </w:r>
      <w:r>
        <w:rPr>
          <w:rFonts w:cs="Calibri (Body)"/>
          <w:sz w:val="18"/>
          <w:szCs w:val="18"/>
          <w:vertAlign w:val="superscript"/>
        </w:rPr>
        <w:t>1,2</w:t>
      </w:r>
      <w:r>
        <w:rPr>
          <w:rFonts w:cstheme="minorHAnsi"/>
          <w:sz w:val="20"/>
          <w:szCs w:val="20"/>
        </w:rPr>
        <w:t>; Rob Castro</w:t>
      </w:r>
      <w:r>
        <w:rPr>
          <w:rFonts w:cs="Calibri (Body)"/>
          <w:sz w:val="18"/>
          <w:szCs w:val="18"/>
          <w:vertAlign w:val="superscript"/>
        </w:rPr>
        <w:t>2</w:t>
      </w:r>
      <w:r>
        <w:rPr>
          <w:rFonts w:cstheme="minorHAnsi"/>
          <w:sz w:val="20"/>
          <w:szCs w:val="20"/>
        </w:rPr>
        <w:t>; Mariko Costantini</w:t>
      </w:r>
      <w:r>
        <w:rPr>
          <w:rFonts w:cs="Calibri (Body)"/>
          <w:sz w:val="18"/>
          <w:szCs w:val="18"/>
          <w:vertAlign w:val="superscript"/>
        </w:rPr>
        <w:t>2</w:t>
      </w:r>
      <w:r>
        <w:rPr>
          <w:rFonts w:cstheme="minorHAnsi"/>
          <w:sz w:val="20"/>
          <w:szCs w:val="20"/>
        </w:rPr>
        <w:t>; Quinn Gavin</w:t>
      </w:r>
      <w:r>
        <w:rPr>
          <w:rFonts w:cs="Calibri (Body)"/>
          <w:sz w:val="18"/>
          <w:szCs w:val="18"/>
          <w:vertAlign w:val="superscript"/>
        </w:rPr>
        <w:t>1,2</w:t>
      </w:r>
      <w:r>
        <w:rPr>
          <w:rFonts w:cstheme="minorHAnsi"/>
          <w:sz w:val="20"/>
          <w:szCs w:val="20"/>
        </w:rPr>
        <w:t>; Jillian Kadota</w:t>
      </w:r>
      <w:r>
        <w:rPr>
          <w:rFonts w:cs="Calibri (Body)"/>
          <w:sz w:val="18"/>
          <w:szCs w:val="18"/>
          <w:vertAlign w:val="superscript"/>
        </w:rPr>
        <w:t>2</w:t>
      </w:r>
      <w:r>
        <w:rPr>
          <w:rFonts w:cstheme="minorHAnsi"/>
          <w:sz w:val="20"/>
          <w:szCs w:val="20"/>
        </w:rPr>
        <w:t>; Tessa Mochizuki</w:t>
      </w:r>
      <w:r>
        <w:rPr>
          <w:rFonts w:cs="Calibri (Body)"/>
          <w:sz w:val="18"/>
          <w:szCs w:val="18"/>
          <w:vertAlign w:val="superscript"/>
        </w:rPr>
        <w:t>2</w:t>
      </w:r>
      <w:r>
        <w:rPr>
          <w:rFonts w:cstheme="minorHAnsi"/>
          <w:sz w:val="20"/>
          <w:szCs w:val="20"/>
        </w:rPr>
        <w:t>; Hayley Poore</w:t>
      </w:r>
      <w:r>
        <w:rPr>
          <w:rFonts w:cs="Calibri (Body)"/>
          <w:sz w:val="18"/>
          <w:szCs w:val="18"/>
          <w:vertAlign w:val="superscript"/>
        </w:rPr>
        <w:t>1,2</w:t>
      </w:r>
      <w:r>
        <w:rPr>
          <w:rFonts w:cstheme="minorHAnsi"/>
          <w:sz w:val="20"/>
          <w:szCs w:val="20"/>
        </w:rPr>
        <w:t>; Tara Taeed</w:t>
      </w:r>
      <w:r>
        <w:rPr>
          <w:rFonts w:cs="Calibri (Body)"/>
          <w:sz w:val="18"/>
          <w:szCs w:val="18"/>
          <w:vertAlign w:val="superscript"/>
        </w:rPr>
        <w:t>2</w:t>
      </w:r>
      <w:r>
        <w:rPr>
          <w:rFonts w:cstheme="minorHAnsi"/>
          <w:sz w:val="20"/>
          <w:szCs w:val="20"/>
        </w:rPr>
        <w:t>; Qiao Wang</w:t>
      </w:r>
      <w:r>
        <w:rPr>
          <w:rFonts w:cs="Calibri (Body)"/>
          <w:sz w:val="18"/>
          <w:szCs w:val="18"/>
          <w:vertAlign w:val="superscript"/>
        </w:rPr>
        <w:t>1,2</w:t>
      </w:r>
      <w:r>
        <w:rPr>
          <w:rFonts w:cstheme="minorHAnsi"/>
          <w:sz w:val="20"/>
          <w:szCs w:val="20"/>
        </w:rPr>
        <w:t>; Talemwa Nalugwa</w:t>
      </w:r>
      <w:r>
        <w:rPr>
          <w:rFonts w:cs="Calibri (Body)"/>
          <w:sz w:val="18"/>
          <w:szCs w:val="18"/>
          <w:vertAlign w:val="superscript"/>
        </w:rPr>
        <w:t>3</w:t>
      </w:r>
      <w:r>
        <w:rPr>
          <w:rFonts w:cstheme="minorHAnsi"/>
          <w:sz w:val="20"/>
          <w:szCs w:val="20"/>
        </w:rPr>
        <w:t>; Devasahayam J Christopher</w:t>
      </w:r>
      <w:r>
        <w:rPr>
          <w:rFonts w:cs="Calibri (Body)"/>
          <w:sz w:val="18"/>
          <w:szCs w:val="18"/>
          <w:vertAlign w:val="superscript"/>
        </w:rPr>
        <w:t>4</w:t>
      </w:r>
      <w:r>
        <w:rPr>
          <w:rFonts w:cstheme="minorHAnsi"/>
          <w:sz w:val="20"/>
          <w:szCs w:val="20"/>
        </w:rPr>
        <w:t>; Dinh Van Luong</w:t>
      </w:r>
      <w:r>
        <w:rPr>
          <w:rFonts w:cs="Calibri (Body)"/>
          <w:sz w:val="18"/>
          <w:szCs w:val="18"/>
          <w:vertAlign w:val="superscript"/>
        </w:rPr>
        <w:t>5</w:t>
      </w:r>
      <w:r>
        <w:rPr>
          <w:rFonts w:cstheme="minorHAnsi"/>
          <w:sz w:val="20"/>
          <w:szCs w:val="20"/>
        </w:rPr>
        <w:t>; Grant Theron</w:t>
      </w:r>
      <w:r>
        <w:rPr>
          <w:rFonts w:cs="Calibri (Body)"/>
          <w:sz w:val="18"/>
          <w:szCs w:val="18"/>
          <w:vertAlign w:val="superscript"/>
        </w:rPr>
        <w:t>6</w:t>
      </w:r>
      <w:r>
        <w:rPr>
          <w:rFonts w:cstheme="minorHAnsi"/>
          <w:sz w:val="20"/>
          <w:szCs w:val="20"/>
        </w:rPr>
        <w:t>; William Worodria</w:t>
      </w:r>
      <w:r>
        <w:rPr>
          <w:rFonts w:cs="Calibri (Body)"/>
          <w:sz w:val="18"/>
          <w:szCs w:val="18"/>
          <w:vertAlign w:val="superscript"/>
        </w:rPr>
        <w:t>7</w:t>
      </w:r>
      <w:r>
        <w:rPr>
          <w:rFonts w:cstheme="minorHAnsi"/>
          <w:sz w:val="20"/>
          <w:szCs w:val="20"/>
        </w:rPr>
        <w:t>; Charles Yu</w:t>
      </w:r>
      <w:r>
        <w:rPr>
          <w:rFonts w:cs="Calibri (Body)"/>
          <w:sz w:val="18"/>
          <w:szCs w:val="18"/>
          <w:vertAlign w:val="superscript"/>
        </w:rPr>
        <w:t>8</w:t>
      </w:r>
      <w:r>
        <w:rPr>
          <w:rFonts w:cstheme="minorHAnsi"/>
          <w:sz w:val="20"/>
          <w:szCs w:val="20"/>
        </w:rPr>
        <w:t>; Devan Jaganath</w:t>
      </w:r>
      <w:r>
        <w:rPr>
          <w:rFonts w:cs="Calibri (Body)"/>
          <w:sz w:val="18"/>
          <w:szCs w:val="18"/>
          <w:vertAlign w:val="superscript"/>
        </w:rPr>
        <w:t>2</w:t>
      </w:r>
      <w:r>
        <w:rPr>
          <w:rFonts w:cstheme="minorHAnsi"/>
          <w:sz w:val="20"/>
          <w:szCs w:val="20"/>
        </w:rPr>
        <w:t>; Andrew Kerkhoff</w:t>
      </w:r>
      <w:r>
        <w:rPr>
          <w:rFonts w:cs="Calibri (Body)"/>
          <w:sz w:val="18"/>
          <w:szCs w:val="18"/>
          <w:vertAlign w:val="superscript"/>
        </w:rPr>
        <w:t>2</w:t>
      </w:r>
      <w:r>
        <w:rPr>
          <w:rFonts w:cstheme="minorHAnsi"/>
          <w:sz w:val="20"/>
          <w:szCs w:val="20"/>
        </w:rPr>
        <w:t>; Midori Kato-Maeda</w:t>
      </w:r>
      <w:r>
        <w:rPr>
          <w:rFonts w:cs="Calibri (Body)"/>
          <w:sz w:val="18"/>
          <w:szCs w:val="18"/>
          <w:vertAlign w:val="superscript"/>
        </w:rPr>
        <w:t>2</w:t>
      </w:r>
      <w:r>
        <w:rPr>
          <w:rFonts w:cstheme="minorHAnsi"/>
          <w:sz w:val="20"/>
          <w:szCs w:val="20"/>
        </w:rPr>
        <w:t>; Patrick Phillips</w:t>
      </w:r>
      <w:r>
        <w:rPr>
          <w:rFonts w:cs="Calibri (Body)"/>
          <w:sz w:val="18"/>
          <w:szCs w:val="18"/>
          <w:vertAlign w:val="superscript"/>
        </w:rPr>
        <w:t>2</w:t>
      </w:r>
      <w:r>
        <w:rPr>
          <w:rFonts w:cstheme="minorHAnsi"/>
          <w:sz w:val="20"/>
          <w:szCs w:val="20"/>
        </w:rPr>
        <w:t>; Payam Nahid</w:t>
      </w:r>
      <w:r>
        <w:rPr>
          <w:rFonts w:cs="Calibri (Body)"/>
          <w:sz w:val="18"/>
          <w:szCs w:val="18"/>
          <w:vertAlign w:val="superscript"/>
        </w:rPr>
        <w:t>2</w:t>
      </w:r>
      <w:r>
        <w:rPr>
          <w:rFonts w:cstheme="minorHAnsi"/>
          <w:sz w:val="20"/>
          <w:szCs w:val="20"/>
        </w:rPr>
        <w:t>; Claudia Denkinger</w:t>
      </w:r>
      <w:r>
        <w:rPr>
          <w:rFonts w:cs="Calibri (Body)"/>
          <w:sz w:val="18"/>
          <w:szCs w:val="18"/>
          <w:vertAlign w:val="superscript"/>
        </w:rPr>
        <w:t>9</w:t>
      </w:r>
      <w:r>
        <w:rPr>
          <w:rFonts w:cstheme="minorHAnsi"/>
          <w:sz w:val="20"/>
          <w:szCs w:val="20"/>
        </w:rPr>
        <w:t>; Adithya Cattamanchi</w:t>
      </w:r>
      <w:r>
        <w:rPr>
          <w:rFonts w:cs="Calibri (Body)"/>
          <w:sz w:val="18"/>
          <w:szCs w:val="18"/>
          <w:vertAlign w:val="superscript"/>
        </w:rPr>
        <w:t>1,2</w:t>
      </w:r>
      <w:r>
        <w:rPr>
          <w:rFonts w:cstheme="minorHAnsi"/>
          <w:sz w:val="20"/>
          <w:szCs w:val="20"/>
        </w:rPr>
        <w:t>; Nora West</w:t>
      </w:r>
      <w:r>
        <w:rPr>
          <w:rFonts w:cs="Calibri (Body)"/>
          <w:sz w:val="18"/>
          <w:szCs w:val="18"/>
          <w:vertAlign w:val="superscript"/>
        </w:rPr>
        <w:t>2</w:t>
      </w:r>
    </w:p>
    <w:p w14:paraId="1A8CD392" w14:textId="77777777" w:rsidR="00286D1B" w:rsidRDefault="004B1BBD">
      <w:pPr>
        <w:spacing w:line="240" w:lineRule="auto"/>
        <w:contextualSpacing/>
        <w:rPr>
          <w:rFonts w:cstheme="minorHAnsi"/>
          <w:sz w:val="18"/>
          <w:szCs w:val="18"/>
        </w:rPr>
      </w:pPr>
      <w:r>
        <w:rPr>
          <w:rFonts w:cs="Calibri (Body)"/>
          <w:sz w:val="18"/>
          <w:szCs w:val="18"/>
          <w:vertAlign w:val="superscript"/>
        </w:rPr>
        <w:t>1</w:t>
      </w:r>
      <w:r>
        <w:rPr>
          <w:rFonts w:cstheme="minorHAnsi"/>
          <w:sz w:val="18"/>
          <w:szCs w:val="18"/>
        </w:rPr>
        <w:t xml:space="preserve"> Division of Pulmonary Diseases and Critical Care Medicine, University of California Irvine, Orange, USA</w:t>
      </w:r>
    </w:p>
    <w:p w14:paraId="279D4DE0" w14:textId="77777777" w:rsidR="00286D1B" w:rsidRDefault="004B1BBD">
      <w:pPr>
        <w:spacing w:line="240" w:lineRule="auto"/>
        <w:contextualSpacing/>
        <w:rPr>
          <w:rFonts w:cstheme="minorHAnsi"/>
          <w:sz w:val="18"/>
          <w:szCs w:val="18"/>
        </w:rPr>
      </w:pPr>
      <w:r>
        <w:rPr>
          <w:rFonts w:cs="Calibri (Body)"/>
          <w:sz w:val="18"/>
          <w:szCs w:val="18"/>
          <w:vertAlign w:val="superscript"/>
        </w:rPr>
        <w:t>2</w:t>
      </w:r>
      <w:r>
        <w:rPr>
          <w:rFonts w:cstheme="minorHAnsi"/>
          <w:sz w:val="18"/>
          <w:szCs w:val="18"/>
        </w:rPr>
        <w:t xml:space="preserve"> Center for Tuberculosis, University of California San Francisco, San Francisco, USA</w:t>
      </w:r>
    </w:p>
    <w:p w14:paraId="58C148F0" w14:textId="77777777" w:rsidR="00286D1B" w:rsidRDefault="004B1BBD">
      <w:pPr>
        <w:spacing w:line="240" w:lineRule="auto"/>
        <w:contextualSpacing/>
        <w:rPr>
          <w:rFonts w:cstheme="minorHAnsi"/>
          <w:sz w:val="18"/>
          <w:szCs w:val="18"/>
        </w:rPr>
      </w:pPr>
      <w:r>
        <w:rPr>
          <w:rFonts w:cs="Calibri (Body)"/>
          <w:sz w:val="18"/>
          <w:szCs w:val="18"/>
          <w:vertAlign w:val="superscript"/>
        </w:rPr>
        <w:t>3</w:t>
      </w:r>
      <w:r>
        <w:rPr>
          <w:rFonts w:cstheme="minorHAnsi"/>
          <w:sz w:val="18"/>
          <w:szCs w:val="18"/>
        </w:rPr>
        <w:t xml:space="preserve"> Walimu, Kampala, Uganda</w:t>
      </w:r>
    </w:p>
    <w:p w14:paraId="0A1812BB" w14:textId="77777777" w:rsidR="00286D1B" w:rsidRDefault="004B1BBD">
      <w:pPr>
        <w:spacing w:line="240" w:lineRule="auto"/>
        <w:contextualSpacing/>
        <w:rPr>
          <w:rFonts w:cstheme="minorHAnsi"/>
          <w:sz w:val="18"/>
          <w:szCs w:val="18"/>
        </w:rPr>
      </w:pPr>
      <w:r>
        <w:rPr>
          <w:rFonts w:cs="Calibri (Body)"/>
          <w:sz w:val="18"/>
          <w:szCs w:val="18"/>
          <w:vertAlign w:val="superscript"/>
        </w:rPr>
        <w:t>4</w:t>
      </w:r>
      <w:r>
        <w:rPr>
          <w:rFonts w:cstheme="minorHAnsi"/>
          <w:sz w:val="18"/>
          <w:szCs w:val="18"/>
        </w:rPr>
        <w:t xml:space="preserve"> Division of Pulmonary Medicine, Christian Medical College, Vellore, India</w:t>
      </w:r>
    </w:p>
    <w:p w14:paraId="589346DB" w14:textId="77777777" w:rsidR="00286D1B" w:rsidRDefault="004B1BBD">
      <w:pPr>
        <w:spacing w:line="240" w:lineRule="auto"/>
        <w:contextualSpacing/>
        <w:rPr>
          <w:rFonts w:cstheme="minorHAnsi"/>
          <w:sz w:val="18"/>
          <w:szCs w:val="18"/>
        </w:rPr>
      </w:pPr>
      <w:r>
        <w:rPr>
          <w:rFonts w:cs="Calibri (Body)"/>
          <w:sz w:val="18"/>
          <w:szCs w:val="18"/>
          <w:vertAlign w:val="superscript"/>
        </w:rPr>
        <w:t>5</w:t>
      </w:r>
      <w:r>
        <w:rPr>
          <w:rFonts w:cstheme="minorHAnsi"/>
          <w:sz w:val="18"/>
          <w:szCs w:val="18"/>
        </w:rPr>
        <w:t xml:space="preserve"> National Lung Hospital, Hanoi, Vietnam</w:t>
      </w:r>
    </w:p>
    <w:p w14:paraId="25121EDF" w14:textId="77777777" w:rsidR="00286D1B" w:rsidRDefault="004B1BBD">
      <w:pPr>
        <w:spacing w:line="240" w:lineRule="auto"/>
        <w:contextualSpacing/>
        <w:rPr>
          <w:rFonts w:cstheme="minorHAnsi"/>
          <w:sz w:val="18"/>
          <w:szCs w:val="18"/>
        </w:rPr>
      </w:pPr>
      <w:r>
        <w:rPr>
          <w:rFonts w:cs="Calibri (Body)"/>
          <w:sz w:val="18"/>
          <w:szCs w:val="18"/>
          <w:vertAlign w:val="superscript"/>
        </w:rPr>
        <w:t>6</w:t>
      </w:r>
      <w:r>
        <w:rPr>
          <w:rFonts w:cstheme="minorHAnsi"/>
          <w:sz w:val="18"/>
          <w:szCs w:val="18"/>
        </w:rPr>
        <w:t xml:space="preserve"> DSI-NRF Centre of Excellence for Biomedical Tuberculosis Research, South African Medical Research Council Centre for Tuberculosis Research, Division of Molecular Biology and Human Genetics, Faculty of Medicine and Health Sciences, Stellenbosch University, Cape Town, South Africa</w:t>
      </w:r>
    </w:p>
    <w:p w14:paraId="43370649" w14:textId="77777777" w:rsidR="00286D1B" w:rsidRDefault="004B1BBD">
      <w:pPr>
        <w:spacing w:line="240" w:lineRule="auto"/>
        <w:contextualSpacing/>
        <w:rPr>
          <w:rFonts w:cstheme="minorHAnsi"/>
          <w:sz w:val="18"/>
          <w:szCs w:val="18"/>
        </w:rPr>
      </w:pPr>
      <w:r>
        <w:rPr>
          <w:rFonts w:cs="Calibri (Body)"/>
          <w:sz w:val="18"/>
          <w:szCs w:val="18"/>
          <w:vertAlign w:val="superscript"/>
        </w:rPr>
        <w:t>7</w:t>
      </w:r>
      <w:r>
        <w:rPr>
          <w:rFonts w:cstheme="minorHAnsi"/>
          <w:sz w:val="18"/>
          <w:szCs w:val="18"/>
        </w:rPr>
        <w:t xml:space="preserve"> Makerere University, Kampala, Uganda</w:t>
      </w:r>
    </w:p>
    <w:p w14:paraId="30F8FDFB" w14:textId="77777777" w:rsidR="00286D1B" w:rsidRDefault="004B1BBD">
      <w:pPr>
        <w:spacing w:line="240" w:lineRule="auto"/>
        <w:contextualSpacing/>
        <w:rPr>
          <w:rFonts w:cstheme="minorHAnsi"/>
          <w:sz w:val="18"/>
          <w:szCs w:val="18"/>
        </w:rPr>
      </w:pPr>
      <w:r>
        <w:rPr>
          <w:rFonts w:cs="Calibri (Body)"/>
          <w:sz w:val="18"/>
          <w:szCs w:val="18"/>
          <w:vertAlign w:val="superscript"/>
        </w:rPr>
        <w:t>8</w:t>
      </w:r>
      <w:r>
        <w:rPr>
          <w:rFonts w:cstheme="minorHAnsi"/>
          <w:sz w:val="18"/>
          <w:szCs w:val="18"/>
        </w:rPr>
        <w:t xml:space="preserve"> De La Salle Medical and Health Sciences Institute, Dasmariñas, Philippines</w:t>
      </w:r>
    </w:p>
    <w:p w14:paraId="5B344965" w14:textId="77777777" w:rsidR="00286D1B" w:rsidRDefault="004B1BBD">
      <w:pPr>
        <w:spacing w:line="240" w:lineRule="auto"/>
        <w:contextualSpacing/>
        <w:rPr>
          <w:rFonts w:cstheme="minorHAnsi"/>
          <w:sz w:val="18"/>
          <w:szCs w:val="18"/>
        </w:rPr>
      </w:pPr>
      <w:r>
        <w:rPr>
          <w:rFonts w:cs="Calibri (Body)"/>
          <w:sz w:val="18"/>
          <w:szCs w:val="18"/>
          <w:vertAlign w:val="superscript"/>
        </w:rPr>
        <w:t>9</w:t>
      </w:r>
      <w:r>
        <w:rPr>
          <w:rFonts w:cstheme="minorHAnsi"/>
          <w:sz w:val="18"/>
          <w:szCs w:val="18"/>
        </w:rPr>
        <w:t xml:space="preserve"> University Hospital of Heidelberg, Heidelberg, Germany</w:t>
      </w:r>
    </w:p>
    <w:p w14:paraId="7FF07EE8" w14:textId="77777777" w:rsidR="00286D1B" w:rsidRDefault="00286D1B">
      <w:pPr>
        <w:rPr>
          <w:rFonts w:cstheme="minorHAnsi"/>
          <w:sz w:val="20"/>
          <w:szCs w:val="20"/>
        </w:rPr>
      </w:pPr>
    </w:p>
    <w:p w14:paraId="4841749B" w14:textId="77777777" w:rsidR="00E35ADA" w:rsidRDefault="004B1BBD">
      <w:pPr>
        <w:rPr>
          <w:rFonts w:cstheme="minorHAnsi"/>
          <w:sz w:val="20"/>
          <w:szCs w:val="20"/>
        </w:rPr>
      </w:pPr>
      <w:r>
        <w:rPr>
          <w:rFonts w:cstheme="minorHAnsi"/>
          <w:b/>
          <w:bCs/>
          <w:sz w:val="20"/>
          <w:szCs w:val="20"/>
        </w:rPr>
        <w:t>Background:</w:t>
      </w:r>
      <w:r>
        <w:rPr>
          <w:rFonts w:cstheme="minorHAnsi"/>
          <w:sz w:val="20"/>
          <w:szCs w:val="20"/>
        </w:rPr>
        <w:t xml:space="preserve"> Tongue swabs are an alternative to sputum-based molecular testing for tuberculosis (TB). Self-collection of tongue swabs could facilitate testing, particularly in community settings. However, the feasibility, acceptability, and diagnostic performance of self-collected tongue swabs are unknown. </w:t>
      </w:r>
    </w:p>
    <w:p w14:paraId="12232E8F" w14:textId="77777777" w:rsidR="00E35ADA" w:rsidRDefault="004B1BBD">
      <w:pPr>
        <w:rPr>
          <w:rFonts w:cstheme="minorHAnsi"/>
          <w:sz w:val="20"/>
          <w:szCs w:val="20"/>
        </w:rPr>
      </w:pPr>
      <w:r>
        <w:rPr>
          <w:rFonts w:cstheme="minorHAnsi"/>
          <w:b/>
          <w:bCs/>
          <w:sz w:val="20"/>
          <w:szCs w:val="20"/>
        </w:rPr>
        <w:t>Methods:</w:t>
      </w:r>
      <w:r>
        <w:rPr>
          <w:rFonts w:cstheme="minorHAnsi"/>
          <w:sz w:val="20"/>
          <w:szCs w:val="20"/>
        </w:rPr>
        <w:t xml:space="preserve"> We conducted a convergent, parallel, mixed-methods study among people with presumptive TB at outpatient clinics in India, the Philippines, South Africa, Uganda, and Vietnam. From September 2025-January 2026, participants provided two tongue swabs prior to sputum collection for culture-based microbiological reference standard testing, alongside a simple preference survey. The first tongue swab was self-collected by participants after standardized instructions, and the second was collected by a trained healthcare worker (HCW). Tongue swabs were tested in a blinded manner using the MiniDock MTB test (Pluslife, China). We conducted in-depth interviews (IDIs) with a subset of participants in Uganda and Vietnam following sample collection. We compared differences in yield (proportion with positive result) and diagnostic accuracy between self-collected and HCW-collected tongue swabs and thematically analyzed qualitative data. </w:t>
      </w:r>
    </w:p>
    <w:p w14:paraId="6ABDEC07" w14:textId="77777777" w:rsidR="00E35ADA" w:rsidRDefault="004B1BBD">
      <w:pPr>
        <w:rPr>
          <w:rFonts w:cstheme="minorHAnsi"/>
          <w:sz w:val="20"/>
          <w:szCs w:val="20"/>
        </w:rPr>
      </w:pPr>
      <w:r>
        <w:rPr>
          <w:rFonts w:cstheme="minorHAnsi"/>
          <w:b/>
          <w:bCs/>
          <w:sz w:val="20"/>
          <w:szCs w:val="20"/>
        </w:rPr>
        <w:t>Results:</w:t>
      </w:r>
      <w:r>
        <w:rPr>
          <w:rFonts w:cstheme="minorHAnsi"/>
          <w:sz w:val="20"/>
          <w:szCs w:val="20"/>
        </w:rPr>
        <w:t xml:space="preserve">  Among 648 participants enrolled, 49.5% were female, 18.8% were living with HIV, and 21.9% had culture-positive TB. The proportion with invalid results (0.9% vs 0.6%, p=0.75), yield (17.3% vs. 17.2%, p&gt;0.99), sensitivity (78.9% vs 76.0%, p=0.34) and specificity (98.5% vs. 98.3%, p&gt;0.99) were similar between HCW-collected and self-collected tongue swabs. Most participants (52.5%) preferred HCW collection. IDIs (n=42) showed that participants found self-swabbing easy to complete. However, trust in sputum as a gold standard for TB testing and uncertain confidence in the accuracy of a self-collected sample factored into comfort with self-swabbing.  </w:t>
      </w:r>
    </w:p>
    <w:p w14:paraId="1314BEB5" w14:textId="77777777" w:rsidR="00691E24" w:rsidRPr="003D2039" w:rsidRDefault="004B1BBD">
      <w:pPr>
        <w:rPr>
          <w:rFonts w:cstheme="minorHAnsi"/>
          <w:sz w:val="20"/>
          <w:szCs w:val="20"/>
        </w:rPr>
      </w:pPr>
      <w:r>
        <w:rPr>
          <w:rFonts w:cstheme="minorHAnsi"/>
          <w:b/>
          <w:bCs/>
          <w:sz w:val="20"/>
          <w:szCs w:val="20"/>
        </w:rPr>
        <w:t>Conclusions:</w:t>
      </w:r>
      <w:r>
        <w:rPr>
          <w:rFonts w:cstheme="minorHAnsi"/>
          <w:sz w:val="20"/>
          <w:szCs w:val="20"/>
        </w:rPr>
        <w:t xml:space="preserve">  Diagnostic performance was similar between self-collected and HCW-collected tongue swabs, indicating that self-swabbing could be an alternative, especially for people unable to produce sputum. However, further evidence and sensitization will be needed to increase confidence in self-collected tongue swabs.</w:t>
      </w:r>
    </w:p>
    <w:p w14:paraId="1DE4EA64" w14:textId="77777777" w:rsidR="00691E24" w:rsidRDefault="00691E24">
      <w:pPr>
        <w:rPr>
          <w:rFonts w:eastAsia="Times New Roman"/>
          <w:color w:val="000000" w:themeColor="text1"/>
          <w:sz w:val="24"/>
          <w:szCs w:val="24"/>
        </w:rPr>
      </w:pPr>
      <w:r>
        <w:rPr>
          <w:rFonts w:eastAsia="Times New Roman"/>
        </w:rPr>
        <w:lastRenderedPageBreak/>
        <w:br w:type="page"/>
      </w:r>
    </w:p>
    <w:p w14:paraId="7200C07D" w14:textId="77777777" w:rsidR="00286D1B" w:rsidRDefault="004B1BBD">
      <w:pPr>
        <w:pStyle w:val="Heading2"/>
        <w:rPr>
          <w:rFonts w:asciiTheme="minorHAnsi" w:eastAsia="Times New Roman" w:hAnsiTheme="minorHAnsi" w:cstheme="minorBidi"/>
        </w:rPr>
      </w:pPr>
      <w:bookmarkStart w:id="30" w:name="_Toc238729458"/>
      <w:r>
        <w:rPr>
          <w:rFonts w:asciiTheme="minorHAnsi" w:eastAsia="Times New Roman" w:hAnsiTheme="minorHAnsi" w:cstheme="minorBidi"/>
        </w:rPr>
        <w:lastRenderedPageBreak/>
        <w:t>PP-17: Naythra Narayanan, UCSF</w:t>
      </w:r>
      <w:bookmarkEnd w:id="30"/>
    </w:p>
    <w:p w14:paraId="21E56429" w14:textId="77777777" w:rsidR="00286D1B" w:rsidRDefault="00286D1B">
      <w:pPr>
        <w:rPr>
          <w:rFonts w:cstheme="minorHAnsi"/>
          <w:sz w:val="20"/>
          <w:szCs w:val="20"/>
        </w:rPr>
      </w:pPr>
    </w:p>
    <w:p w14:paraId="7840502F" w14:textId="77777777" w:rsidR="00286D1B" w:rsidRDefault="004B1BBD">
      <w:pPr>
        <w:rPr>
          <w:rFonts w:cstheme="minorHAnsi"/>
          <w:sz w:val="24"/>
          <w:szCs w:val="24"/>
        </w:rPr>
      </w:pPr>
      <w:r>
        <w:rPr>
          <w:rFonts w:cstheme="minorHAnsi"/>
          <w:b/>
          <w:bCs/>
          <w:sz w:val="24"/>
          <w:szCs w:val="24"/>
        </w:rPr>
        <w:t>Prospective identification of a 4-metabolite plasma signature for tuberculosis disease in children across three high burden countries</w:t>
      </w:r>
    </w:p>
    <w:p w14:paraId="56510C5D" w14:textId="77777777" w:rsidR="00286D1B" w:rsidRDefault="004B1BBD">
      <w:pPr>
        <w:rPr>
          <w:rFonts w:cstheme="minorHAnsi"/>
          <w:sz w:val="20"/>
          <w:szCs w:val="20"/>
        </w:rPr>
      </w:pPr>
      <w:r>
        <w:rPr>
          <w:rFonts w:cstheme="minorHAnsi"/>
          <w:sz w:val="20"/>
          <w:szCs w:val="20"/>
        </w:rPr>
        <w:t>Naythra Narayanan, UCSF</w:t>
      </w:r>
    </w:p>
    <w:p w14:paraId="7E543E32" w14:textId="77777777" w:rsidR="00286D1B" w:rsidRDefault="004B1BBD">
      <w:pPr>
        <w:rPr>
          <w:rFonts w:eastAsia="Aptos" w:cstheme="minorHAnsi"/>
          <w:sz w:val="20"/>
        </w:rPr>
      </w:pPr>
      <w:r>
        <w:rPr>
          <w:rFonts w:eastAsia="Aptos" w:cstheme="minorHAnsi"/>
          <w:sz w:val="20"/>
        </w:rPr>
        <w:t xml:space="preserve">Email: </w:t>
      </w:r>
      <w:hyperlink r:id="rId36" w:history="1">
        <w:r>
          <w:rPr>
            <w:rStyle w:val="Hyperlink"/>
            <w:rFonts w:eastAsia="Aptos" w:cstheme="minorHAnsi"/>
            <w:sz w:val="20"/>
          </w:rPr>
          <w:t>naythra.narayanan@ucsf.edu</w:t>
        </w:r>
      </w:hyperlink>
    </w:p>
    <w:p w14:paraId="00E31262" w14:textId="77777777" w:rsidR="00286D1B" w:rsidRDefault="00286D1B">
      <w:pPr>
        <w:rPr>
          <w:rFonts w:cstheme="minorHAnsi"/>
          <w:sz w:val="20"/>
          <w:szCs w:val="20"/>
        </w:rPr>
      </w:pPr>
    </w:p>
    <w:p w14:paraId="2244E3A3" w14:textId="77777777" w:rsidR="00286D1B" w:rsidRDefault="004B1BBD">
      <w:pPr>
        <w:rPr>
          <w:rFonts w:cstheme="minorHAnsi"/>
          <w:sz w:val="20"/>
          <w:szCs w:val="20"/>
        </w:rPr>
      </w:pPr>
      <w:r>
        <w:rPr>
          <w:rFonts w:cstheme="minorHAnsi"/>
          <w:sz w:val="20"/>
          <w:szCs w:val="20"/>
        </w:rPr>
        <w:t>Naythra Narayanan</w:t>
      </w:r>
      <w:r>
        <w:rPr>
          <w:rFonts w:cs="Calibri (Body)"/>
          <w:sz w:val="18"/>
          <w:szCs w:val="18"/>
          <w:vertAlign w:val="superscript"/>
        </w:rPr>
        <w:t>1</w:t>
      </w:r>
      <w:r>
        <w:rPr>
          <w:rFonts w:cstheme="minorHAnsi"/>
          <w:sz w:val="20"/>
          <w:szCs w:val="20"/>
        </w:rPr>
        <w:t>; Zaynab Mousavian</w:t>
      </w:r>
      <w:r>
        <w:rPr>
          <w:rFonts w:cs="Calibri (Body)"/>
          <w:sz w:val="18"/>
          <w:szCs w:val="18"/>
          <w:vertAlign w:val="superscript"/>
        </w:rPr>
        <w:t>2</w:t>
      </w:r>
      <w:r>
        <w:rPr>
          <w:rFonts w:cstheme="minorHAnsi"/>
          <w:sz w:val="20"/>
          <w:szCs w:val="20"/>
        </w:rPr>
        <w:t>; Mary Nellis</w:t>
      </w:r>
      <w:r>
        <w:rPr>
          <w:rFonts w:cs="Calibri (Body)"/>
          <w:sz w:val="18"/>
          <w:szCs w:val="18"/>
          <w:vertAlign w:val="superscript"/>
        </w:rPr>
        <w:t>3</w:t>
      </w:r>
      <w:r>
        <w:rPr>
          <w:rFonts w:cstheme="minorHAnsi"/>
          <w:sz w:val="20"/>
          <w:szCs w:val="20"/>
        </w:rPr>
        <w:t>; Juaneta Luiz</w:t>
      </w:r>
      <w:r>
        <w:rPr>
          <w:rFonts w:cs="Calibri (Body)"/>
          <w:sz w:val="18"/>
          <w:szCs w:val="18"/>
          <w:vertAlign w:val="superscript"/>
        </w:rPr>
        <w:t>4</w:t>
      </w:r>
      <w:r>
        <w:rPr>
          <w:rFonts w:cstheme="minorHAnsi"/>
          <w:sz w:val="20"/>
          <w:szCs w:val="20"/>
        </w:rPr>
        <w:t>; Esin Nkereuwem</w:t>
      </w:r>
      <w:r>
        <w:rPr>
          <w:rFonts w:cs="Calibri (Body)"/>
          <w:sz w:val="18"/>
          <w:szCs w:val="18"/>
          <w:vertAlign w:val="superscript"/>
        </w:rPr>
        <w:t>5</w:t>
      </w:r>
      <w:r>
        <w:rPr>
          <w:rFonts w:cstheme="minorHAnsi"/>
          <w:sz w:val="20"/>
          <w:szCs w:val="20"/>
        </w:rPr>
        <w:t>; Peter Wambi</w:t>
      </w:r>
      <w:r>
        <w:rPr>
          <w:rFonts w:cs="Calibri (Body)"/>
          <w:sz w:val="18"/>
          <w:szCs w:val="18"/>
          <w:vertAlign w:val="superscript"/>
        </w:rPr>
        <w:t>6</w:t>
      </w:r>
      <w:r>
        <w:rPr>
          <w:rFonts w:cstheme="minorHAnsi"/>
          <w:sz w:val="20"/>
          <w:szCs w:val="20"/>
        </w:rPr>
        <w:t>; Robert Castro</w:t>
      </w:r>
      <w:r>
        <w:rPr>
          <w:rFonts w:cs="Calibri (Body)"/>
          <w:sz w:val="18"/>
          <w:szCs w:val="18"/>
          <w:vertAlign w:val="superscript"/>
        </w:rPr>
        <w:t>7</w:t>
      </w:r>
      <w:r>
        <w:rPr>
          <w:rFonts w:cstheme="minorHAnsi"/>
          <w:sz w:val="20"/>
          <w:szCs w:val="20"/>
        </w:rPr>
        <w:t>; Kevin Nolan</w:t>
      </w:r>
      <w:r>
        <w:rPr>
          <w:rFonts w:cs="Calibri (Body)"/>
          <w:sz w:val="18"/>
          <w:szCs w:val="18"/>
          <w:vertAlign w:val="superscript"/>
        </w:rPr>
        <w:t>7</w:t>
      </w:r>
      <w:r>
        <w:rPr>
          <w:rFonts w:cstheme="minorHAnsi"/>
          <w:sz w:val="20"/>
          <w:szCs w:val="20"/>
        </w:rPr>
        <w:t>; Hayley Poore</w:t>
      </w:r>
      <w:r>
        <w:rPr>
          <w:rFonts w:cs="Calibri (Body)"/>
          <w:sz w:val="18"/>
          <w:szCs w:val="18"/>
          <w:vertAlign w:val="superscript"/>
        </w:rPr>
        <w:t>7,8</w:t>
      </w:r>
      <w:r>
        <w:rPr>
          <w:rFonts w:cstheme="minorHAnsi"/>
          <w:sz w:val="20"/>
          <w:szCs w:val="20"/>
        </w:rPr>
        <w:t>; Rutuja Nerukar</w:t>
      </w:r>
      <w:r>
        <w:rPr>
          <w:rFonts w:cs="Calibri (Body)"/>
          <w:sz w:val="18"/>
          <w:szCs w:val="18"/>
          <w:vertAlign w:val="superscript"/>
        </w:rPr>
        <w:t>1</w:t>
      </w:r>
      <w:r>
        <w:rPr>
          <w:rFonts w:cstheme="minorHAnsi"/>
          <w:sz w:val="20"/>
          <w:szCs w:val="20"/>
        </w:rPr>
        <w:t>; Midori Kato-Maeda</w:t>
      </w:r>
      <w:r>
        <w:rPr>
          <w:rFonts w:cs="Calibri (Body)"/>
          <w:sz w:val="18"/>
          <w:szCs w:val="18"/>
          <w:vertAlign w:val="superscript"/>
        </w:rPr>
        <w:t>7</w:t>
      </w:r>
      <w:r>
        <w:rPr>
          <w:rFonts w:cstheme="minorHAnsi"/>
          <w:sz w:val="20"/>
          <w:szCs w:val="20"/>
        </w:rPr>
        <w:t>; Heather J Zar</w:t>
      </w:r>
      <w:r>
        <w:rPr>
          <w:rFonts w:cs="Calibri (Body)"/>
          <w:sz w:val="18"/>
          <w:szCs w:val="18"/>
          <w:vertAlign w:val="superscript"/>
        </w:rPr>
        <w:t>4</w:t>
      </w:r>
      <w:r>
        <w:rPr>
          <w:rFonts w:cstheme="minorHAnsi"/>
          <w:sz w:val="20"/>
          <w:szCs w:val="20"/>
        </w:rPr>
        <w:t>; Beate Kampmann</w:t>
      </w:r>
      <w:r>
        <w:rPr>
          <w:rFonts w:cs="Calibri (Body)"/>
          <w:sz w:val="18"/>
          <w:szCs w:val="18"/>
          <w:vertAlign w:val="superscript"/>
        </w:rPr>
        <w:t>5</w:t>
      </w:r>
      <w:r>
        <w:rPr>
          <w:rFonts w:cstheme="minorHAnsi"/>
          <w:sz w:val="20"/>
          <w:szCs w:val="20"/>
        </w:rPr>
        <w:t>; Eric Wobudeya</w:t>
      </w:r>
      <w:r>
        <w:rPr>
          <w:rFonts w:cs="Calibri (Body)"/>
          <w:sz w:val="18"/>
          <w:szCs w:val="18"/>
          <w:vertAlign w:val="superscript"/>
        </w:rPr>
        <w:t>6</w:t>
      </w:r>
      <w:r>
        <w:rPr>
          <w:rFonts w:cstheme="minorHAnsi"/>
          <w:sz w:val="20"/>
          <w:szCs w:val="20"/>
        </w:rPr>
        <w:t>; Adithya Cattamanchi</w:t>
      </w:r>
      <w:r>
        <w:rPr>
          <w:rFonts w:cs="Calibri (Body)"/>
          <w:sz w:val="18"/>
          <w:szCs w:val="18"/>
          <w:vertAlign w:val="superscript"/>
        </w:rPr>
        <w:t>7,8</w:t>
      </w:r>
      <w:r>
        <w:rPr>
          <w:rFonts w:cstheme="minorHAnsi"/>
          <w:sz w:val="20"/>
          <w:szCs w:val="20"/>
        </w:rPr>
        <w:t>; Joel D Ernst</w:t>
      </w:r>
      <w:r>
        <w:rPr>
          <w:rFonts w:cs="Calibri (Body)"/>
          <w:sz w:val="18"/>
          <w:szCs w:val="18"/>
          <w:vertAlign w:val="superscript"/>
        </w:rPr>
        <w:t>7</w:t>
      </w:r>
      <w:r>
        <w:rPr>
          <w:rFonts w:cstheme="minorHAnsi"/>
          <w:sz w:val="20"/>
          <w:szCs w:val="20"/>
        </w:rPr>
        <w:t>; Jeffrey Collins</w:t>
      </w:r>
      <w:r>
        <w:rPr>
          <w:rFonts w:cs="Calibri (Body)"/>
          <w:sz w:val="18"/>
          <w:szCs w:val="18"/>
          <w:vertAlign w:val="superscript"/>
        </w:rPr>
        <w:t>3</w:t>
      </w:r>
      <w:r>
        <w:rPr>
          <w:rFonts w:cstheme="minorHAnsi"/>
          <w:sz w:val="20"/>
          <w:szCs w:val="20"/>
        </w:rPr>
        <w:t>; Devan Jaganath</w:t>
      </w:r>
      <w:r>
        <w:rPr>
          <w:rFonts w:cs="Calibri (Body)"/>
          <w:sz w:val="18"/>
          <w:szCs w:val="18"/>
          <w:vertAlign w:val="superscript"/>
        </w:rPr>
        <w:t>1</w:t>
      </w:r>
    </w:p>
    <w:p w14:paraId="47DDBA3C" w14:textId="77777777" w:rsidR="00B87FAE" w:rsidRDefault="004B1BBD">
      <w:pPr>
        <w:spacing w:line="240" w:lineRule="auto"/>
        <w:contextualSpacing/>
        <w:rPr>
          <w:rFonts w:cstheme="minorHAnsi"/>
          <w:sz w:val="18"/>
          <w:szCs w:val="18"/>
        </w:rPr>
      </w:pPr>
      <w:r>
        <w:rPr>
          <w:rFonts w:cs="Calibri (Body)"/>
          <w:sz w:val="18"/>
          <w:szCs w:val="18"/>
          <w:vertAlign w:val="superscript"/>
        </w:rPr>
        <w:t>1</w:t>
      </w:r>
      <w:r>
        <w:rPr>
          <w:rFonts w:cstheme="minorHAnsi"/>
          <w:sz w:val="18"/>
          <w:szCs w:val="18"/>
        </w:rPr>
        <w:t xml:space="preserve"> Department of Pediatrics, UCSF</w:t>
      </w:r>
    </w:p>
    <w:p w14:paraId="203E62DB" w14:textId="77777777" w:rsidR="00B87FAE" w:rsidRDefault="004B1BBD">
      <w:pPr>
        <w:spacing w:line="240" w:lineRule="auto"/>
        <w:contextualSpacing/>
        <w:rPr>
          <w:rFonts w:cstheme="minorHAnsi"/>
          <w:sz w:val="18"/>
          <w:szCs w:val="18"/>
        </w:rPr>
      </w:pPr>
      <w:r>
        <w:rPr>
          <w:rFonts w:cs="Calibri (Body)"/>
          <w:sz w:val="18"/>
          <w:szCs w:val="18"/>
          <w:vertAlign w:val="superscript"/>
        </w:rPr>
        <w:t>2</w:t>
      </w:r>
      <w:r>
        <w:rPr>
          <w:rFonts w:cstheme="minorHAnsi"/>
          <w:sz w:val="18"/>
          <w:szCs w:val="18"/>
        </w:rPr>
        <w:t xml:space="preserve"> Department of Global Health, Emory University</w:t>
      </w:r>
    </w:p>
    <w:p w14:paraId="14633FA2" w14:textId="77777777" w:rsidR="00B87FAE" w:rsidRDefault="004B1BBD">
      <w:pPr>
        <w:spacing w:line="240" w:lineRule="auto"/>
        <w:contextualSpacing/>
        <w:rPr>
          <w:rFonts w:cstheme="minorHAnsi"/>
          <w:sz w:val="18"/>
          <w:szCs w:val="18"/>
        </w:rPr>
      </w:pPr>
      <w:r>
        <w:rPr>
          <w:rFonts w:cs="Calibri (Body)"/>
          <w:sz w:val="18"/>
          <w:szCs w:val="18"/>
          <w:vertAlign w:val="superscript"/>
        </w:rPr>
        <w:t>3</w:t>
      </w:r>
      <w:r>
        <w:rPr>
          <w:rFonts w:cstheme="minorHAnsi"/>
          <w:sz w:val="18"/>
          <w:szCs w:val="18"/>
        </w:rPr>
        <w:t xml:space="preserve"> Department of Medicine, Emory University</w:t>
      </w:r>
    </w:p>
    <w:p w14:paraId="3E8CD5AF" w14:textId="77777777" w:rsidR="00B87FAE" w:rsidRDefault="004B1BBD">
      <w:pPr>
        <w:spacing w:line="240" w:lineRule="auto"/>
        <w:contextualSpacing/>
        <w:rPr>
          <w:rFonts w:cstheme="minorHAnsi"/>
          <w:sz w:val="18"/>
          <w:szCs w:val="18"/>
        </w:rPr>
      </w:pPr>
      <w:r>
        <w:rPr>
          <w:rFonts w:cs="Calibri (Body)"/>
          <w:sz w:val="18"/>
          <w:szCs w:val="18"/>
          <w:vertAlign w:val="superscript"/>
        </w:rPr>
        <w:t>4</w:t>
      </w:r>
      <w:r>
        <w:rPr>
          <w:rFonts w:cstheme="minorHAnsi"/>
          <w:sz w:val="18"/>
          <w:szCs w:val="18"/>
        </w:rPr>
        <w:t xml:space="preserve"> Department of Pediatrics &amp; Child Health, University of Cape Town</w:t>
      </w:r>
    </w:p>
    <w:p w14:paraId="3BEE7E61" w14:textId="77777777" w:rsidR="00B87FAE" w:rsidRDefault="004B1BBD">
      <w:pPr>
        <w:spacing w:line="240" w:lineRule="auto"/>
        <w:contextualSpacing/>
        <w:rPr>
          <w:rFonts w:cstheme="minorHAnsi"/>
          <w:sz w:val="18"/>
          <w:szCs w:val="18"/>
        </w:rPr>
      </w:pPr>
      <w:r>
        <w:rPr>
          <w:rFonts w:cs="Calibri (Body)"/>
          <w:sz w:val="18"/>
          <w:szCs w:val="18"/>
          <w:vertAlign w:val="superscript"/>
        </w:rPr>
        <w:t>5</w:t>
      </w:r>
      <w:r>
        <w:rPr>
          <w:rFonts w:cstheme="minorHAnsi"/>
          <w:sz w:val="18"/>
          <w:szCs w:val="18"/>
        </w:rPr>
        <w:t xml:space="preserve"> Medical Research Council Unit, The Gambia at the London School of Hygiene &amp; Tropical Medicine</w:t>
      </w:r>
    </w:p>
    <w:p w14:paraId="477326FB" w14:textId="77777777" w:rsidR="00B87FAE" w:rsidRDefault="004B1BBD">
      <w:pPr>
        <w:spacing w:line="240" w:lineRule="auto"/>
        <w:contextualSpacing/>
        <w:rPr>
          <w:rFonts w:cstheme="minorHAnsi"/>
          <w:sz w:val="18"/>
          <w:szCs w:val="18"/>
        </w:rPr>
      </w:pPr>
      <w:r>
        <w:rPr>
          <w:rFonts w:cs="Calibri (Body)"/>
          <w:sz w:val="18"/>
          <w:szCs w:val="18"/>
          <w:vertAlign w:val="superscript"/>
        </w:rPr>
        <w:t>6</w:t>
      </w:r>
      <w:r>
        <w:rPr>
          <w:rFonts w:cstheme="minorHAnsi"/>
          <w:sz w:val="18"/>
          <w:szCs w:val="18"/>
        </w:rPr>
        <w:t xml:space="preserve"> Uganda Tuberculosis Implementation Research Consortium</w:t>
      </w:r>
    </w:p>
    <w:p w14:paraId="27AB398F" w14:textId="77777777" w:rsidR="00B87FAE" w:rsidRDefault="004B1BBD">
      <w:pPr>
        <w:spacing w:line="240" w:lineRule="auto"/>
        <w:contextualSpacing/>
        <w:rPr>
          <w:rFonts w:cstheme="minorHAnsi"/>
          <w:sz w:val="18"/>
          <w:szCs w:val="18"/>
        </w:rPr>
      </w:pPr>
      <w:r>
        <w:rPr>
          <w:rFonts w:cs="Calibri (Body)"/>
          <w:sz w:val="18"/>
          <w:szCs w:val="18"/>
          <w:vertAlign w:val="superscript"/>
        </w:rPr>
        <w:t>7</w:t>
      </w:r>
      <w:r>
        <w:rPr>
          <w:rFonts w:cstheme="minorHAnsi"/>
          <w:sz w:val="18"/>
          <w:szCs w:val="18"/>
        </w:rPr>
        <w:t xml:space="preserve"> Department of Medicine, UCSF</w:t>
      </w:r>
    </w:p>
    <w:p w14:paraId="6ECBFCA3" w14:textId="77777777" w:rsidR="00286D1B" w:rsidRDefault="004B1BBD">
      <w:pPr>
        <w:spacing w:line="240" w:lineRule="auto"/>
        <w:contextualSpacing/>
        <w:rPr>
          <w:rFonts w:cstheme="minorHAnsi"/>
          <w:sz w:val="18"/>
          <w:szCs w:val="18"/>
        </w:rPr>
      </w:pPr>
      <w:r>
        <w:rPr>
          <w:rFonts w:cs="Calibri (Body)"/>
          <w:sz w:val="18"/>
          <w:szCs w:val="18"/>
          <w:vertAlign w:val="superscript"/>
        </w:rPr>
        <w:t>8</w:t>
      </w:r>
      <w:r>
        <w:rPr>
          <w:rFonts w:cstheme="minorHAnsi"/>
          <w:sz w:val="18"/>
          <w:szCs w:val="18"/>
        </w:rPr>
        <w:t xml:space="preserve"> Division of Pulmonary Diseases &amp; Critical Care Medicine, UCI</w:t>
      </w:r>
    </w:p>
    <w:p w14:paraId="22A7E351" w14:textId="77777777" w:rsidR="00286D1B" w:rsidRDefault="00286D1B">
      <w:pPr>
        <w:rPr>
          <w:rFonts w:cstheme="minorHAnsi"/>
          <w:sz w:val="20"/>
          <w:szCs w:val="20"/>
        </w:rPr>
      </w:pPr>
    </w:p>
    <w:p w14:paraId="1DC855B2" w14:textId="77777777" w:rsidR="00967449" w:rsidRDefault="00967449">
      <w:pPr>
        <w:rPr>
          <w:rFonts w:cstheme="minorHAnsi"/>
          <w:sz w:val="20"/>
          <w:szCs w:val="20"/>
        </w:rPr>
      </w:pPr>
      <w:r>
        <w:rPr>
          <w:rFonts w:cstheme="minorHAnsi"/>
          <w:b/>
          <w:bCs/>
          <w:sz w:val="20"/>
          <w:szCs w:val="20"/>
        </w:rPr>
        <w:t>Background:</w:t>
      </w:r>
      <w:r>
        <w:rPr>
          <w:rFonts w:cstheme="minorHAnsi"/>
          <w:sz w:val="20"/>
          <w:szCs w:val="20"/>
        </w:rPr>
        <w:t xml:space="preserve">  Current microbiologic tests to diagnose tuberculosis (TB) disease in children have low sensitivity, due in part to paucibacillary disease and difficulty expectorating sputum. We sought to identify a plasma metabolite signature associated with childhood TB disease using prospectively collected samples from children evaluated for TB disease in The Gambia, South Africa, and Uganda. </w:t>
      </w:r>
    </w:p>
    <w:p w14:paraId="298C5B24" w14:textId="77777777" w:rsidR="00967449" w:rsidRDefault="00967449">
      <w:pPr>
        <w:rPr>
          <w:rFonts w:cstheme="minorHAnsi"/>
          <w:sz w:val="20"/>
          <w:szCs w:val="20"/>
        </w:rPr>
      </w:pPr>
      <w:r>
        <w:rPr>
          <w:rFonts w:cstheme="minorHAnsi"/>
          <w:b/>
          <w:bCs/>
          <w:sz w:val="20"/>
          <w:szCs w:val="20"/>
        </w:rPr>
        <w:t>Methods:</w:t>
      </w:r>
      <w:r>
        <w:rPr>
          <w:rFonts w:cstheme="minorHAnsi"/>
          <w:sz w:val="20"/>
          <w:szCs w:val="20"/>
        </w:rPr>
        <w:t xml:space="preserve"> Children less than 15 years who had signs and symptoms of pulmonary TB disease were enrolled. They completed a standard evaluation including Xpert Ultra and culture, and were classified as Confirmed TB, Unconfirmed TB or Unlikely TB. EDTA plasma was collected and stored using a uniform protocol. Using high-resolution liquid chromatography-mass spectrometry (LC-MS), we quantified the concentration of 136 metabolites in each sample. The metabolite dataset was randomly partitioned into training (70%) and test (30%) sets. Random forest models were trained using the training dataset and evaluated on the test data. The performance of each biomarker was assessed by calculating the area under the receiver operating characteristic curve (AUC) with corresponding 95% confidence interval (CI) for discriminating Confirmed TB from Unlikely TB.  </w:t>
      </w:r>
    </w:p>
    <w:p w14:paraId="089146E1" w14:textId="77777777" w:rsidR="00967449" w:rsidRDefault="00967449">
      <w:pPr>
        <w:rPr>
          <w:rFonts w:cstheme="minorHAnsi"/>
          <w:sz w:val="20"/>
          <w:szCs w:val="20"/>
        </w:rPr>
      </w:pPr>
      <w:r>
        <w:rPr>
          <w:rFonts w:cstheme="minorHAnsi"/>
          <w:b/>
          <w:bCs/>
          <w:sz w:val="20"/>
          <w:szCs w:val="20"/>
        </w:rPr>
        <w:t>Results:</w:t>
      </w:r>
      <w:r>
        <w:rPr>
          <w:rFonts w:cstheme="minorHAnsi"/>
          <w:sz w:val="20"/>
          <w:szCs w:val="20"/>
        </w:rPr>
        <w:t xml:space="preserve"> We enrolled 443 children across The Gambia, South Africa, and Uganda including 105 with Confirmed TB, 105 with Unlikely TB, and 223 with Unconfirmed TB. Among children with Confirmed TB, 60 (57.1%) were under 5 years of age, and 24 (22.9%) were children living with HIV. Among those classified as Unlikely TB, 54 (51.4%) were under 5 years of age, and 8 (7.6%) were children living with HIV. The random forest feature selection identified a 4-metabolite signature (glutamine, N-acetyl glycine, tryptophan, and asparagine) as the best combination of metabolites for differentiating between Confirmed TB and Unlikely TB with an AUC of 0.76 (95% CI: 0.64–0.87).  In subgroup analysis, the 4-metabolite signature showed high performance among children living with HIV (AUC=0.94; 95% CI: 0.79 – 1.00) and slightly better performance among children aged ≥5 years (AUC=0.80; 95% CI: 0.63 – 0.96). </w:t>
      </w:r>
    </w:p>
    <w:p w14:paraId="4858CE33" w14:textId="77777777" w:rsidR="00286D1B" w:rsidRDefault="004B1BBD">
      <w:pPr>
        <w:rPr>
          <w:rFonts w:cstheme="minorHAnsi"/>
          <w:sz w:val="20"/>
          <w:szCs w:val="20"/>
        </w:rPr>
      </w:pPr>
      <w:r>
        <w:rPr>
          <w:rFonts w:cstheme="minorHAnsi"/>
          <w:b/>
          <w:bCs/>
          <w:sz w:val="20"/>
          <w:szCs w:val="20"/>
        </w:rPr>
        <w:t>Conclusions:</w:t>
      </w:r>
      <w:r>
        <w:rPr>
          <w:rFonts w:cstheme="minorHAnsi"/>
          <w:sz w:val="20"/>
          <w:szCs w:val="20"/>
        </w:rPr>
        <w:t xml:space="preserve">  The 4-metabolite signature differentiated children with Confirmed and Unlikely TB across the 3 different settings, with improved performance among children living with HIV and those ≥ 5 years old.  Independent validation of this signature is needed, with additional approaches including multi-omic analysis to improve performance.</w:t>
      </w:r>
    </w:p>
    <w:p w14:paraId="11EB57AB" w14:textId="77777777" w:rsidR="00691E24" w:rsidRDefault="00691E24">
      <w:pPr>
        <w:rPr>
          <w:rFonts w:eastAsia="Times New Roman"/>
          <w:color w:val="000000" w:themeColor="text1"/>
          <w:sz w:val="24"/>
          <w:szCs w:val="24"/>
        </w:rPr>
      </w:pPr>
      <w:r>
        <w:rPr>
          <w:rFonts w:eastAsia="Times New Roman"/>
        </w:rPr>
        <w:lastRenderedPageBreak/>
        <w:br w:type="page"/>
      </w:r>
    </w:p>
    <w:p w14:paraId="0C8EE622" w14:textId="77777777" w:rsidR="00286D1B" w:rsidRDefault="004B1BBD">
      <w:pPr>
        <w:pStyle w:val="Heading2"/>
        <w:rPr>
          <w:rFonts w:asciiTheme="minorHAnsi" w:eastAsia="Times New Roman" w:hAnsiTheme="minorHAnsi" w:cstheme="minorBidi"/>
        </w:rPr>
      </w:pPr>
      <w:bookmarkStart w:id="31" w:name="_Toc238729459"/>
      <w:r>
        <w:rPr>
          <w:rFonts w:asciiTheme="minorHAnsi" w:eastAsia="Times New Roman" w:hAnsiTheme="minorHAnsi" w:cstheme="minorBidi"/>
        </w:rPr>
        <w:lastRenderedPageBreak/>
        <w:t>PP-18: Rutuja Nerurkar, UCSF</w:t>
      </w:r>
      <w:bookmarkEnd w:id="31"/>
    </w:p>
    <w:p w14:paraId="611F63DE" w14:textId="77777777" w:rsidR="00286D1B" w:rsidRDefault="00286D1B">
      <w:pPr>
        <w:rPr>
          <w:rFonts w:cstheme="minorHAnsi"/>
          <w:sz w:val="20"/>
          <w:szCs w:val="20"/>
        </w:rPr>
      </w:pPr>
    </w:p>
    <w:p w14:paraId="0C471A5C" w14:textId="77777777" w:rsidR="00286D1B" w:rsidRDefault="004B1BBD">
      <w:pPr>
        <w:rPr>
          <w:rFonts w:cstheme="minorHAnsi"/>
          <w:sz w:val="24"/>
          <w:szCs w:val="24"/>
        </w:rPr>
      </w:pPr>
      <w:r>
        <w:rPr>
          <w:rFonts w:cstheme="minorHAnsi"/>
          <w:b/>
          <w:bCs/>
          <w:sz w:val="24"/>
          <w:szCs w:val="24"/>
        </w:rPr>
        <w:t>Digital lung auscultation for TB screening: Development and multi-country assessment of deep learning models</w:t>
      </w:r>
    </w:p>
    <w:p w14:paraId="1ECB05AE" w14:textId="77777777" w:rsidR="00286D1B" w:rsidRDefault="004B1BBD">
      <w:pPr>
        <w:rPr>
          <w:rFonts w:cstheme="minorHAnsi"/>
          <w:sz w:val="20"/>
          <w:szCs w:val="20"/>
        </w:rPr>
      </w:pPr>
      <w:r>
        <w:rPr>
          <w:rFonts w:cstheme="minorHAnsi"/>
          <w:sz w:val="20"/>
          <w:szCs w:val="20"/>
        </w:rPr>
        <w:t>Rutuja Nerurkar, UCSF</w:t>
      </w:r>
    </w:p>
    <w:p w14:paraId="6DA597E9" w14:textId="77777777" w:rsidR="00286D1B" w:rsidRDefault="004B1BBD">
      <w:pPr>
        <w:rPr>
          <w:rFonts w:eastAsia="Aptos" w:cstheme="minorHAnsi"/>
          <w:sz w:val="20"/>
        </w:rPr>
      </w:pPr>
      <w:r>
        <w:rPr>
          <w:rFonts w:eastAsia="Aptos" w:cstheme="minorHAnsi"/>
          <w:sz w:val="20"/>
        </w:rPr>
        <w:t xml:space="preserve">Email: </w:t>
      </w:r>
      <w:hyperlink r:id="rId37" w:history="1">
        <w:r>
          <w:rPr>
            <w:rStyle w:val="Hyperlink"/>
            <w:rFonts w:eastAsia="Aptos" w:cstheme="minorHAnsi"/>
            <w:sz w:val="20"/>
          </w:rPr>
          <w:t>rutuja.nerurkar@ucsf.edu</w:t>
        </w:r>
      </w:hyperlink>
    </w:p>
    <w:p w14:paraId="04C1AC3A" w14:textId="77777777" w:rsidR="00286D1B" w:rsidRDefault="00286D1B">
      <w:pPr>
        <w:rPr>
          <w:rFonts w:cstheme="minorHAnsi"/>
          <w:sz w:val="20"/>
          <w:szCs w:val="20"/>
        </w:rPr>
      </w:pPr>
    </w:p>
    <w:p w14:paraId="14F8D3D0" w14:textId="77777777" w:rsidR="00286D1B" w:rsidRDefault="004B1BBD">
      <w:pPr>
        <w:rPr>
          <w:rFonts w:cstheme="minorHAnsi"/>
          <w:sz w:val="20"/>
          <w:szCs w:val="20"/>
        </w:rPr>
      </w:pPr>
      <w:r>
        <w:rPr>
          <w:rFonts w:cstheme="minorHAnsi"/>
          <w:sz w:val="20"/>
          <w:szCs w:val="20"/>
        </w:rPr>
        <w:t>Nerurkar Rutuja</w:t>
      </w:r>
      <w:r>
        <w:rPr>
          <w:rFonts w:cs="Calibri (Body)"/>
          <w:sz w:val="18"/>
          <w:szCs w:val="18"/>
          <w:vertAlign w:val="superscript"/>
        </w:rPr>
        <w:t>1</w:t>
      </w:r>
      <w:r>
        <w:rPr>
          <w:rFonts w:cstheme="minorHAnsi"/>
          <w:sz w:val="20"/>
          <w:szCs w:val="20"/>
        </w:rPr>
        <w:t>; Moe Caitlin</w:t>
      </w:r>
      <w:r>
        <w:rPr>
          <w:rFonts w:cs="Calibri (Body)"/>
          <w:sz w:val="18"/>
          <w:szCs w:val="18"/>
          <w:vertAlign w:val="superscript"/>
        </w:rPr>
        <w:t>1,2</w:t>
      </w:r>
      <w:r>
        <w:rPr>
          <w:rFonts w:cstheme="minorHAnsi"/>
          <w:sz w:val="20"/>
          <w:szCs w:val="20"/>
        </w:rPr>
        <w:t>; Villca Abel</w:t>
      </w:r>
      <w:r>
        <w:rPr>
          <w:rFonts w:cs="Calibri (Body)"/>
          <w:sz w:val="18"/>
          <w:szCs w:val="18"/>
          <w:vertAlign w:val="superscript"/>
        </w:rPr>
        <w:t>3</w:t>
      </w:r>
      <w:r>
        <w:rPr>
          <w:rFonts w:cstheme="minorHAnsi"/>
          <w:sz w:val="20"/>
          <w:szCs w:val="20"/>
        </w:rPr>
        <w:t>; Daseking Hal</w:t>
      </w:r>
      <w:r>
        <w:rPr>
          <w:rFonts w:cs="Calibri (Body)"/>
          <w:sz w:val="18"/>
          <w:szCs w:val="18"/>
          <w:vertAlign w:val="superscript"/>
        </w:rPr>
        <w:t>3</w:t>
      </w:r>
      <w:r>
        <w:rPr>
          <w:rFonts w:cstheme="minorHAnsi"/>
          <w:sz w:val="20"/>
          <w:szCs w:val="20"/>
        </w:rPr>
        <w:t>; Agrawal Vipin</w:t>
      </w:r>
      <w:r>
        <w:rPr>
          <w:rFonts w:cs="Calibri (Body)"/>
          <w:sz w:val="18"/>
          <w:szCs w:val="18"/>
          <w:vertAlign w:val="superscript"/>
        </w:rPr>
        <w:t>3</w:t>
      </w:r>
      <w:r>
        <w:rPr>
          <w:rFonts w:cstheme="minorHAnsi"/>
          <w:sz w:val="20"/>
          <w:szCs w:val="20"/>
        </w:rPr>
        <w:t>; Agarwal Utsav</w:t>
      </w:r>
      <w:r>
        <w:rPr>
          <w:rFonts w:cs="Calibri (Body)"/>
          <w:sz w:val="18"/>
          <w:szCs w:val="18"/>
          <w:vertAlign w:val="superscript"/>
        </w:rPr>
        <w:t>3</w:t>
      </w:r>
      <w:r>
        <w:rPr>
          <w:rFonts w:cstheme="minorHAnsi"/>
          <w:sz w:val="20"/>
          <w:szCs w:val="20"/>
        </w:rPr>
        <w:t>; Agrawal Dia</w:t>
      </w:r>
      <w:r>
        <w:rPr>
          <w:rFonts w:cs="Calibri (Body)"/>
          <w:sz w:val="18"/>
          <w:szCs w:val="18"/>
          <w:vertAlign w:val="superscript"/>
        </w:rPr>
        <w:t>3</w:t>
      </w:r>
      <w:r>
        <w:rPr>
          <w:rFonts w:cstheme="minorHAnsi"/>
          <w:sz w:val="20"/>
          <w:szCs w:val="20"/>
        </w:rPr>
        <w:t>; Castro Robert</w:t>
      </w:r>
      <w:r>
        <w:rPr>
          <w:rFonts w:cs="Calibri (Body)"/>
          <w:sz w:val="18"/>
          <w:szCs w:val="18"/>
          <w:vertAlign w:val="superscript"/>
        </w:rPr>
        <w:t>1</w:t>
      </w:r>
      <w:r>
        <w:rPr>
          <w:rFonts w:cstheme="minorHAnsi"/>
          <w:sz w:val="20"/>
          <w:szCs w:val="20"/>
        </w:rPr>
        <w:t>; Costantini Mariko</w:t>
      </w:r>
      <w:r>
        <w:rPr>
          <w:rFonts w:cs="Calibri (Body)"/>
          <w:sz w:val="18"/>
          <w:szCs w:val="18"/>
          <w:vertAlign w:val="superscript"/>
        </w:rPr>
        <w:t>1</w:t>
      </w:r>
      <w:r>
        <w:rPr>
          <w:rFonts w:cstheme="minorHAnsi"/>
          <w:sz w:val="20"/>
          <w:szCs w:val="20"/>
        </w:rPr>
        <w:t>; Gavin Quinn</w:t>
      </w:r>
      <w:r>
        <w:rPr>
          <w:rFonts w:cs="Calibri (Body)"/>
          <w:sz w:val="18"/>
          <w:szCs w:val="18"/>
          <w:vertAlign w:val="superscript"/>
        </w:rPr>
        <w:t>1,2</w:t>
      </w:r>
      <w:r>
        <w:rPr>
          <w:rFonts w:cstheme="minorHAnsi"/>
          <w:sz w:val="20"/>
          <w:szCs w:val="20"/>
        </w:rPr>
        <w:t>; Narayanan Naythra</w:t>
      </w:r>
      <w:r>
        <w:rPr>
          <w:rFonts w:cs="Calibri (Body)"/>
          <w:sz w:val="18"/>
          <w:szCs w:val="18"/>
          <w:vertAlign w:val="superscript"/>
        </w:rPr>
        <w:t>1</w:t>
      </w:r>
      <w:r>
        <w:rPr>
          <w:rFonts w:cstheme="minorHAnsi"/>
          <w:sz w:val="20"/>
          <w:szCs w:val="20"/>
        </w:rPr>
        <w:t>; Kadota Jillian</w:t>
      </w:r>
      <w:r>
        <w:rPr>
          <w:rFonts w:cs="Calibri (Body)"/>
          <w:sz w:val="18"/>
          <w:szCs w:val="18"/>
          <w:vertAlign w:val="superscript"/>
        </w:rPr>
        <w:t>1</w:t>
      </w:r>
      <w:r>
        <w:rPr>
          <w:rFonts w:cstheme="minorHAnsi"/>
          <w:sz w:val="20"/>
          <w:szCs w:val="20"/>
        </w:rPr>
        <w:t>; Mochizuki Tessa</w:t>
      </w:r>
      <w:r>
        <w:rPr>
          <w:rFonts w:cs="Calibri (Body)"/>
          <w:sz w:val="18"/>
          <w:szCs w:val="18"/>
          <w:vertAlign w:val="superscript"/>
        </w:rPr>
        <w:t>1</w:t>
      </w:r>
      <w:r>
        <w:rPr>
          <w:rFonts w:cstheme="minorHAnsi"/>
          <w:sz w:val="20"/>
          <w:szCs w:val="20"/>
        </w:rPr>
        <w:t>; Poore Hayley</w:t>
      </w:r>
      <w:r>
        <w:rPr>
          <w:rFonts w:cs="Calibri (Body)"/>
          <w:sz w:val="18"/>
          <w:szCs w:val="18"/>
          <w:vertAlign w:val="superscript"/>
        </w:rPr>
        <w:t>1,2</w:t>
      </w:r>
      <w:r>
        <w:rPr>
          <w:rFonts w:cstheme="minorHAnsi"/>
          <w:sz w:val="20"/>
          <w:szCs w:val="20"/>
        </w:rPr>
        <w:t>; Taeed Tara</w:t>
      </w:r>
      <w:r>
        <w:rPr>
          <w:rFonts w:cs="Calibri (Body)"/>
          <w:sz w:val="18"/>
          <w:szCs w:val="18"/>
          <w:vertAlign w:val="superscript"/>
        </w:rPr>
        <w:t>1</w:t>
      </w:r>
      <w:r>
        <w:rPr>
          <w:rFonts w:cstheme="minorHAnsi"/>
          <w:sz w:val="20"/>
          <w:szCs w:val="20"/>
        </w:rPr>
        <w:t>; Wang Qiao</w:t>
      </w:r>
      <w:r>
        <w:rPr>
          <w:rFonts w:cs="Calibri (Body)"/>
          <w:sz w:val="18"/>
          <w:szCs w:val="18"/>
          <w:vertAlign w:val="superscript"/>
        </w:rPr>
        <w:t>1,2</w:t>
      </w:r>
      <w:r>
        <w:rPr>
          <w:rFonts w:cstheme="minorHAnsi"/>
          <w:sz w:val="20"/>
          <w:szCs w:val="20"/>
        </w:rPr>
        <w:t>; Luong Dinh Van</w:t>
      </w:r>
      <w:r>
        <w:rPr>
          <w:rFonts w:cs="Calibri (Body)"/>
          <w:sz w:val="18"/>
          <w:szCs w:val="18"/>
          <w:vertAlign w:val="superscript"/>
        </w:rPr>
        <w:t>6</w:t>
      </w:r>
      <w:r>
        <w:rPr>
          <w:rFonts w:cstheme="minorHAnsi"/>
          <w:sz w:val="20"/>
          <w:szCs w:val="20"/>
        </w:rPr>
        <w:t>; Theron Grant</w:t>
      </w:r>
      <w:r>
        <w:rPr>
          <w:rFonts w:cs="Calibri (Body)"/>
          <w:sz w:val="18"/>
          <w:szCs w:val="18"/>
          <w:vertAlign w:val="superscript"/>
        </w:rPr>
        <w:t>8</w:t>
      </w:r>
      <w:r>
        <w:rPr>
          <w:rFonts w:cstheme="minorHAnsi"/>
          <w:sz w:val="20"/>
          <w:szCs w:val="20"/>
        </w:rPr>
        <w:t>; Worodria William</w:t>
      </w:r>
      <w:r>
        <w:rPr>
          <w:rFonts w:cs="Calibri (Body)"/>
          <w:sz w:val="18"/>
          <w:szCs w:val="18"/>
          <w:vertAlign w:val="superscript"/>
        </w:rPr>
        <w:t>9</w:t>
      </w:r>
      <w:r>
        <w:rPr>
          <w:rFonts w:cstheme="minorHAnsi"/>
          <w:sz w:val="20"/>
          <w:szCs w:val="20"/>
        </w:rPr>
        <w:t>; Yu Charles</w:t>
      </w:r>
      <w:r>
        <w:rPr>
          <w:rFonts w:cs="Calibri (Body)"/>
          <w:sz w:val="18"/>
          <w:szCs w:val="18"/>
          <w:vertAlign w:val="superscript"/>
        </w:rPr>
        <w:t>10</w:t>
      </w:r>
      <w:r>
        <w:rPr>
          <w:rFonts w:cstheme="minorHAnsi"/>
          <w:sz w:val="20"/>
          <w:szCs w:val="20"/>
        </w:rPr>
        <w:t>; Kerkhoff Andrew</w:t>
      </w:r>
      <w:r>
        <w:rPr>
          <w:rFonts w:cs="Calibri (Body)"/>
          <w:sz w:val="18"/>
          <w:szCs w:val="18"/>
          <w:vertAlign w:val="superscript"/>
        </w:rPr>
        <w:t>1</w:t>
      </w:r>
      <w:r>
        <w:rPr>
          <w:rFonts w:cstheme="minorHAnsi"/>
          <w:sz w:val="20"/>
          <w:szCs w:val="20"/>
        </w:rPr>
        <w:t>; Kato-Maeda Midori</w:t>
      </w:r>
      <w:r>
        <w:rPr>
          <w:rFonts w:cs="Calibri (Body)"/>
          <w:sz w:val="18"/>
          <w:szCs w:val="18"/>
          <w:vertAlign w:val="superscript"/>
        </w:rPr>
        <w:t>1</w:t>
      </w:r>
      <w:r>
        <w:rPr>
          <w:rFonts w:cstheme="minorHAnsi"/>
          <w:sz w:val="20"/>
          <w:szCs w:val="20"/>
        </w:rPr>
        <w:t>; Phillips Patrick</w:t>
      </w:r>
      <w:r>
        <w:rPr>
          <w:rFonts w:cs="Calibri (Body)"/>
          <w:sz w:val="18"/>
          <w:szCs w:val="18"/>
          <w:vertAlign w:val="superscript"/>
        </w:rPr>
        <w:t>1</w:t>
      </w:r>
      <w:r>
        <w:rPr>
          <w:rFonts w:cstheme="minorHAnsi"/>
          <w:sz w:val="20"/>
          <w:szCs w:val="20"/>
        </w:rPr>
        <w:t>; Nahid Payam</w:t>
      </w:r>
      <w:r>
        <w:rPr>
          <w:rFonts w:cs="Calibri (Body)"/>
          <w:sz w:val="18"/>
          <w:szCs w:val="18"/>
          <w:vertAlign w:val="superscript"/>
        </w:rPr>
        <w:t>1</w:t>
      </w:r>
      <w:r>
        <w:rPr>
          <w:rFonts w:cstheme="minorHAnsi"/>
          <w:sz w:val="20"/>
          <w:szCs w:val="20"/>
        </w:rPr>
        <w:t>; Denkinger Claudia</w:t>
      </w:r>
      <w:r>
        <w:rPr>
          <w:rFonts w:cs="Calibri (Body)"/>
          <w:sz w:val="18"/>
          <w:szCs w:val="18"/>
          <w:vertAlign w:val="superscript"/>
        </w:rPr>
        <w:t>11</w:t>
      </w:r>
      <w:r>
        <w:rPr>
          <w:rFonts w:cstheme="minorHAnsi"/>
          <w:sz w:val="20"/>
          <w:szCs w:val="20"/>
        </w:rPr>
        <w:t>; Cattamanchi Adithya</w:t>
      </w:r>
      <w:r>
        <w:rPr>
          <w:rFonts w:cs="Calibri (Body)"/>
          <w:sz w:val="18"/>
          <w:szCs w:val="18"/>
          <w:vertAlign w:val="superscript"/>
        </w:rPr>
        <w:t>1,2</w:t>
      </w:r>
      <w:r>
        <w:rPr>
          <w:rFonts w:cstheme="minorHAnsi"/>
          <w:sz w:val="20"/>
          <w:szCs w:val="20"/>
        </w:rPr>
        <w:t>; Jaganath Devan</w:t>
      </w:r>
      <w:r>
        <w:rPr>
          <w:rFonts w:cs="Calibri (Body)"/>
          <w:sz w:val="18"/>
          <w:szCs w:val="18"/>
          <w:vertAlign w:val="superscript"/>
        </w:rPr>
        <w:t>1</w:t>
      </w:r>
    </w:p>
    <w:p w14:paraId="28E28285" w14:textId="77777777" w:rsidR="00286D1B" w:rsidRDefault="004B1BBD">
      <w:pPr>
        <w:spacing w:line="240" w:lineRule="auto"/>
        <w:contextualSpacing/>
        <w:rPr>
          <w:rFonts w:cstheme="minorHAnsi"/>
          <w:sz w:val="18"/>
          <w:szCs w:val="18"/>
        </w:rPr>
      </w:pPr>
      <w:r>
        <w:rPr>
          <w:rFonts w:cs="Calibri (Body)"/>
          <w:sz w:val="18"/>
          <w:szCs w:val="18"/>
          <w:vertAlign w:val="superscript"/>
        </w:rPr>
        <w:t>1</w:t>
      </w:r>
      <w:r>
        <w:rPr>
          <w:rFonts w:cstheme="minorHAnsi"/>
          <w:sz w:val="18"/>
          <w:szCs w:val="18"/>
        </w:rPr>
        <w:t xml:space="preserve"> University of California San Francisco, San Francisco, USA.</w:t>
      </w:r>
    </w:p>
    <w:p w14:paraId="14B5E563" w14:textId="77777777" w:rsidR="00286D1B" w:rsidRDefault="004B1BBD">
      <w:pPr>
        <w:spacing w:line="240" w:lineRule="auto"/>
        <w:contextualSpacing/>
        <w:rPr>
          <w:rFonts w:cstheme="minorHAnsi"/>
          <w:sz w:val="18"/>
          <w:szCs w:val="18"/>
        </w:rPr>
      </w:pPr>
      <w:r>
        <w:rPr>
          <w:rFonts w:cs="Calibri (Body)"/>
          <w:sz w:val="18"/>
          <w:szCs w:val="18"/>
          <w:vertAlign w:val="superscript"/>
        </w:rPr>
        <w:t>2</w:t>
      </w:r>
      <w:r>
        <w:rPr>
          <w:rFonts w:cstheme="minorHAnsi"/>
          <w:sz w:val="18"/>
          <w:szCs w:val="18"/>
        </w:rPr>
        <w:t xml:space="preserve"> University of California Irvine, Irvine, USA.</w:t>
      </w:r>
    </w:p>
    <w:p w14:paraId="212DBBDE" w14:textId="77777777" w:rsidR="00286D1B" w:rsidRDefault="004B1BBD">
      <w:pPr>
        <w:spacing w:line="240" w:lineRule="auto"/>
        <w:contextualSpacing/>
        <w:rPr>
          <w:rFonts w:cstheme="minorHAnsi"/>
          <w:sz w:val="18"/>
          <w:szCs w:val="18"/>
        </w:rPr>
      </w:pPr>
      <w:r>
        <w:rPr>
          <w:rFonts w:cs="Calibri (Body)"/>
          <w:sz w:val="18"/>
          <w:szCs w:val="18"/>
          <w:vertAlign w:val="superscript"/>
        </w:rPr>
        <w:t>3</w:t>
      </w:r>
      <w:r>
        <w:rPr>
          <w:rFonts w:cstheme="minorHAnsi"/>
          <w:sz w:val="18"/>
          <w:szCs w:val="18"/>
        </w:rPr>
        <w:t xml:space="preserve"> Audium Health, Palo Alto, USA.</w:t>
      </w:r>
    </w:p>
    <w:p w14:paraId="728CF043" w14:textId="77777777" w:rsidR="00286D1B" w:rsidRDefault="004B1BBD">
      <w:pPr>
        <w:spacing w:line="240" w:lineRule="auto"/>
        <w:contextualSpacing/>
        <w:rPr>
          <w:rFonts w:cstheme="minorHAnsi"/>
          <w:sz w:val="18"/>
          <w:szCs w:val="18"/>
        </w:rPr>
      </w:pPr>
      <w:r>
        <w:rPr>
          <w:rFonts w:cs="Calibri (Body)"/>
          <w:sz w:val="18"/>
          <w:szCs w:val="18"/>
          <w:vertAlign w:val="superscript"/>
        </w:rPr>
        <w:t>4</w:t>
      </w:r>
      <w:r>
        <w:rPr>
          <w:rFonts w:cstheme="minorHAnsi"/>
          <w:sz w:val="18"/>
          <w:szCs w:val="18"/>
        </w:rPr>
        <w:t xml:space="preserve"> Zankli Research Center, Bingham University, Karu, Nigeria.</w:t>
      </w:r>
    </w:p>
    <w:p w14:paraId="23EA3885" w14:textId="77777777" w:rsidR="00286D1B" w:rsidRDefault="004B1BBD">
      <w:pPr>
        <w:spacing w:line="240" w:lineRule="auto"/>
        <w:contextualSpacing/>
        <w:rPr>
          <w:rFonts w:cstheme="minorHAnsi"/>
          <w:sz w:val="18"/>
          <w:szCs w:val="18"/>
        </w:rPr>
      </w:pPr>
      <w:r>
        <w:rPr>
          <w:rFonts w:cs="Calibri (Body)"/>
          <w:sz w:val="18"/>
          <w:szCs w:val="18"/>
          <w:vertAlign w:val="superscript"/>
        </w:rPr>
        <w:t>5</w:t>
      </w:r>
      <w:r>
        <w:rPr>
          <w:rFonts w:cstheme="minorHAnsi"/>
          <w:sz w:val="18"/>
          <w:szCs w:val="18"/>
        </w:rPr>
        <w:t xml:space="preserve"> Christian Medical College, Vellore, India.</w:t>
      </w:r>
    </w:p>
    <w:p w14:paraId="6B871BA8" w14:textId="77777777" w:rsidR="00286D1B" w:rsidRDefault="004B1BBD">
      <w:pPr>
        <w:spacing w:line="240" w:lineRule="auto"/>
        <w:contextualSpacing/>
        <w:rPr>
          <w:rFonts w:cstheme="minorHAnsi"/>
          <w:sz w:val="18"/>
          <w:szCs w:val="18"/>
        </w:rPr>
      </w:pPr>
      <w:r>
        <w:rPr>
          <w:rFonts w:cs="Calibri (Body)"/>
          <w:sz w:val="18"/>
          <w:szCs w:val="18"/>
          <w:vertAlign w:val="superscript"/>
        </w:rPr>
        <w:t>6</w:t>
      </w:r>
      <w:r>
        <w:rPr>
          <w:rFonts w:cstheme="minorHAnsi"/>
          <w:sz w:val="18"/>
          <w:szCs w:val="18"/>
        </w:rPr>
        <w:t xml:space="preserve"> National Lung Hospital, Hanoi, Vietnam.</w:t>
      </w:r>
    </w:p>
    <w:p w14:paraId="393CF7F7" w14:textId="77777777" w:rsidR="00286D1B" w:rsidRDefault="004B1BBD">
      <w:pPr>
        <w:spacing w:line="240" w:lineRule="auto"/>
        <w:contextualSpacing/>
        <w:rPr>
          <w:rFonts w:cstheme="minorHAnsi"/>
          <w:sz w:val="18"/>
          <w:szCs w:val="18"/>
        </w:rPr>
      </w:pPr>
      <w:r>
        <w:rPr>
          <w:rFonts w:cs="Calibri (Body)"/>
          <w:sz w:val="18"/>
          <w:szCs w:val="18"/>
          <w:vertAlign w:val="superscript"/>
        </w:rPr>
        <w:t>7</w:t>
      </w:r>
      <w:r>
        <w:rPr>
          <w:rFonts w:cstheme="minorHAnsi"/>
          <w:sz w:val="18"/>
          <w:szCs w:val="18"/>
        </w:rPr>
        <w:t xml:space="preserve"> Centre for Infectious Disease Research in Zambia, Lusaka, Zambia.</w:t>
      </w:r>
    </w:p>
    <w:p w14:paraId="730182D6" w14:textId="77777777" w:rsidR="00286D1B" w:rsidRDefault="004B1BBD">
      <w:pPr>
        <w:spacing w:line="240" w:lineRule="auto"/>
        <w:contextualSpacing/>
        <w:rPr>
          <w:rFonts w:cstheme="minorHAnsi"/>
          <w:sz w:val="18"/>
          <w:szCs w:val="18"/>
        </w:rPr>
      </w:pPr>
      <w:r>
        <w:rPr>
          <w:rFonts w:cs="Calibri (Body)"/>
          <w:sz w:val="18"/>
          <w:szCs w:val="18"/>
          <w:vertAlign w:val="superscript"/>
        </w:rPr>
        <w:t>8</w:t>
      </w:r>
      <w:r>
        <w:rPr>
          <w:rFonts w:cstheme="minorHAnsi"/>
          <w:sz w:val="18"/>
          <w:szCs w:val="18"/>
        </w:rPr>
        <w:t xml:space="preserve"> Stellenbosch University, Western Cape, South Africa.</w:t>
      </w:r>
    </w:p>
    <w:p w14:paraId="1C055038" w14:textId="77777777" w:rsidR="00286D1B" w:rsidRDefault="004B1BBD">
      <w:pPr>
        <w:spacing w:line="240" w:lineRule="auto"/>
        <w:contextualSpacing/>
        <w:rPr>
          <w:rFonts w:cstheme="minorHAnsi"/>
          <w:sz w:val="18"/>
          <w:szCs w:val="18"/>
        </w:rPr>
      </w:pPr>
      <w:r>
        <w:rPr>
          <w:rFonts w:cs="Calibri (Body)"/>
          <w:sz w:val="18"/>
          <w:szCs w:val="18"/>
          <w:vertAlign w:val="superscript"/>
        </w:rPr>
        <w:t>9</w:t>
      </w:r>
      <w:r>
        <w:rPr>
          <w:rFonts w:cstheme="minorHAnsi"/>
          <w:sz w:val="18"/>
          <w:szCs w:val="18"/>
        </w:rPr>
        <w:t xml:space="preserve"> Makerere University, Kampala, Uganda.</w:t>
      </w:r>
    </w:p>
    <w:p w14:paraId="12E32D38" w14:textId="77777777" w:rsidR="00286D1B" w:rsidRDefault="004B1BBD">
      <w:pPr>
        <w:spacing w:line="240" w:lineRule="auto"/>
        <w:contextualSpacing/>
        <w:rPr>
          <w:rFonts w:cstheme="minorHAnsi"/>
          <w:sz w:val="18"/>
          <w:szCs w:val="18"/>
        </w:rPr>
      </w:pPr>
      <w:r>
        <w:rPr>
          <w:rFonts w:cs="Calibri (Body)"/>
          <w:sz w:val="18"/>
          <w:szCs w:val="18"/>
          <w:vertAlign w:val="superscript"/>
        </w:rPr>
        <w:t>10</w:t>
      </w:r>
      <w:r>
        <w:rPr>
          <w:rFonts w:cstheme="minorHAnsi"/>
          <w:sz w:val="18"/>
          <w:szCs w:val="18"/>
        </w:rPr>
        <w:t xml:space="preserve"> De La Salle Medical Health Sciences Institute, Dasmariñas City, Philippines.</w:t>
      </w:r>
    </w:p>
    <w:p w14:paraId="304A6BA7" w14:textId="77777777" w:rsidR="00286D1B" w:rsidRDefault="004B1BBD">
      <w:pPr>
        <w:spacing w:line="240" w:lineRule="auto"/>
        <w:contextualSpacing/>
        <w:rPr>
          <w:rFonts w:cstheme="minorHAnsi"/>
          <w:sz w:val="18"/>
          <w:szCs w:val="18"/>
        </w:rPr>
      </w:pPr>
      <w:r>
        <w:rPr>
          <w:rFonts w:cs="Calibri (Body)"/>
          <w:sz w:val="18"/>
          <w:szCs w:val="18"/>
          <w:vertAlign w:val="superscript"/>
        </w:rPr>
        <w:t>11</w:t>
      </w:r>
      <w:r>
        <w:rPr>
          <w:rFonts w:cstheme="minorHAnsi"/>
          <w:sz w:val="18"/>
          <w:szCs w:val="18"/>
        </w:rPr>
        <w:t xml:space="preserve"> University Hospital of Heidelberg, Heidelberg, Germany.</w:t>
      </w:r>
    </w:p>
    <w:p w14:paraId="3210A2E3" w14:textId="77777777" w:rsidR="00286D1B" w:rsidRDefault="00286D1B">
      <w:pPr>
        <w:rPr>
          <w:rFonts w:cstheme="minorHAnsi"/>
          <w:sz w:val="20"/>
          <w:szCs w:val="20"/>
        </w:rPr>
      </w:pPr>
    </w:p>
    <w:p w14:paraId="4345A14D" w14:textId="77777777" w:rsidR="00286D1B" w:rsidRDefault="004B1BBD">
      <w:pPr>
        <w:rPr>
          <w:rFonts w:cstheme="minorHAnsi"/>
          <w:sz w:val="20"/>
          <w:szCs w:val="20"/>
        </w:rPr>
      </w:pPr>
      <w:r>
        <w:rPr>
          <w:rFonts w:cstheme="minorHAnsi"/>
          <w:b/>
          <w:bCs/>
          <w:sz w:val="20"/>
          <w:szCs w:val="20"/>
        </w:rPr>
        <w:t>Introduction:</w:t>
      </w:r>
      <w:r>
        <w:rPr>
          <w:rFonts w:cstheme="minorHAnsi"/>
          <w:sz w:val="20"/>
          <w:szCs w:val="20"/>
        </w:rPr>
        <w:t xml:space="preserve"> Automated lung-sound analysis using artificial intelligence (AI) might provide a simple approach to point-of-care pulmonary disease screening, particularly in settings where access to chest X-rays is limited. We developed and independently evaluated novel deep learning models for lung sound analysis in TB screening.</w:t>
      </w:r>
    </w:p>
    <w:p w14:paraId="6149E1B6" w14:textId="77777777" w:rsidR="00286D1B" w:rsidRDefault="004B1BBD">
      <w:pPr>
        <w:rPr>
          <w:rFonts w:cstheme="minorHAnsi"/>
          <w:sz w:val="20"/>
          <w:szCs w:val="20"/>
        </w:rPr>
      </w:pPr>
      <w:r>
        <w:rPr>
          <w:rFonts w:cstheme="minorHAnsi"/>
          <w:b/>
          <w:bCs/>
          <w:sz w:val="20"/>
          <w:szCs w:val="20"/>
        </w:rPr>
        <w:t>Methods:</w:t>
      </w:r>
      <w:r>
        <w:rPr>
          <w:rFonts w:cstheme="minorHAnsi"/>
          <w:sz w:val="20"/>
          <w:szCs w:val="20"/>
        </w:rPr>
        <w:t xml:space="preserve"> Lung sounds were recorded and stored using a digital stethoscope from adults with presumptive TB at outpatient clinics in India, the Philippines, South Africa, Uganda, and Vietnam. A standard TB evaluation was performed, including sputum Xpert Ultra and liquid culture for a microbiological reference standard (MRS). The dataset was split into a training and a test set. Using the training set, we developed two deep learning models to classify TB according to the MRS: one using a masked Autoencoder and contrastive learning, and the other using Google’s HeAR model for embeddings. We independently examined their accuracy using the test set data according to the MRS, with cut-points that approached the goal accuracy of ≥90% sensitivity and ≥60% specificity for a high-sensitivity TB screening test.</w:t>
      </w:r>
    </w:p>
    <w:p w14:paraId="6A64DBAE" w14:textId="77777777" w:rsidR="00286D1B" w:rsidRDefault="004B1BBD">
      <w:pPr>
        <w:rPr>
          <w:rFonts w:cstheme="minorHAnsi"/>
          <w:sz w:val="20"/>
          <w:szCs w:val="20"/>
        </w:rPr>
      </w:pPr>
      <w:r>
        <w:rPr>
          <w:rFonts w:cstheme="minorHAnsi"/>
          <w:b/>
          <w:bCs/>
          <w:sz w:val="20"/>
          <w:szCs w:val="20"/>
        </w:rPr>
        <w:t>Results:</w:t>
      </w:r>
      <w:r>
        <w:rPr>
          <w:rFonts w:cstheme="minorHAnsi"/>
          <w:sz w:val="20"/>
          <w:szCs w:val="20"/>
        </w:rPr>
        <w:t xml:space="preserve"> From 853 participants, 695 were allocated to training and 158 to testing (41% female, 13% living with HIV, 23% TB-positive). The area under the curve (AUC) for both the Autoencoder and HeAR lung sound models to classify TB disease was 0.76 (95% CI 0.67-0.86).  The Autoencoder model achieved 75% (95% CI 0.58-0.86) sensitivity and 77% (95% CI 0.68-0.83) specificity. The HeAR model demonstrated higher sensitivity, 83% (95% CI 0.64-0.90), but lower specificity, 61% (95% CI 0.52-0.69). Among people with HIV (n=21), sensitivity was lower with the autoencoder model (21%), but higher with the HeAR model (100%). Conclusion: Lung-sound-based deep learning models demonstrated acceptable sensitivity and specificity, approaching the target accuracy for a TB screening test. Additional model training could improve performance to support prospective validation.</w:t>
      </w:r>
    </w:p>
    <w:p w14:paraId="3A4C96E0" w14:textId="77777777" w:rsidR="00691E24" w:rsidRDefault="00691E24">
      <w:pPr>
        <w:rPr>
          <w:rFonts w:eastAsia="Times New Roman"/>
          <w:color w:val="000000" w:themeColor="text1"/>
          <w:sz w:val="24"/>
          <w:szCs w:val="24"/>
        </w:rPr>
      </w:pPr>
      <w:r>
        <w:rPr>
          <w:rFonts w:eastAsia="Times New Roman"/>
        </w:rPr>
        <w:br w:type="page"/>
      </w:r>
    </w:p>
    <w:p w14:paraId="2744E219" w14:textId="77777777" w:rsidR="00286D1B" w:rsidRDefault="004B1BBD">
      <w:pPr>
        <w:pStyle w:val="Heading2"/>
        <w:rPr>
          <w:rFonts w:asciiTheme="minorHAnsi" w:eastAsia="Times New Roman" w:hAnsiTheme="minorHAnsi" w:cstheme="minorBidi"/>
        </w:rPr>
      </w:pPr>
      <w:bookmarkStart w:id="32" w:name="_Toc238729460"/>
      <w:r>
        <w:rPr>
          <w:rFonts w:asciiTheme="minorHAnsi" w:eastAsia="Times New Roman" w:hAnsiTheme="minorHAnsi" w:cstheme="minorBidi"/>
        </w:rPr>
        <w:lastRenderedPageBreak/>
        <w:t>PP-19: Ash O'Farrell, UC Santa Cruz</w:t>
      </w:r>
      <w:bookmarkEnd w:id="32"/>
    </w:p>
    <w:p w14:paraId="18A2A0F1" w14:textId="77777777" w:rsidR="00286D1B" w:rsidRDefault="00286D1B">
      <w:pPr>
        <w:rPr>
          <w:rFonts w:cstheme="minorHAnsi"/>
          <w:sz w:val="20"/>
          <w:szCs w:val="20"/>
        </w:rPr>
      </w:pPr>
    </w:p>
    <w:p w14:paraId="3204F872" w14:textId="77777777" w:rsidR="00286D1B" w:rsidRDefault="004B1BBD">
      <w:pPr>
        <w:rPr>
          <w:rFonts w:cstheme="minorHAnsi"/>
          <w:sz w:val="24"/>
          <w:szCs w:val="24"/>
        </w:rPr>
      </w:pPr>
      <w:r>
        <w:rPr>
          <w:rFonts w:cstheme="minorHAnsi"/>
          <w:b/>
          <w:bCs/>
          <w:sz w:val="24"/>
          <w:szCs w:val="24"/>
        </w:rPr>
        <w:t>Detecting and displaying tuberculosis clusters with UShER and Microreact</w:t>
      </w:r>
    </w:p>
    <w:p w14:paraId="03BBFE6A" w14:textId="77777777" w:rsidR="00286D1B" w:rsidRDefault="004B1BBD">
      <w:pPr>
        <w:rPr>
          <w:rFonts w:cstheme="minorHAnsi"/>
          <w:sz w:val="20"/>
          <w:szCs w:val="20"/>
        </w:rPr>
      </w:pPr>
      <w:r>
        <w:rPr>
          <w:rFonts w:cstheme="minorHAnsi"/>
          <w:sz w:val="20"/>
          <w:szCs w:val="20"/>
        </w:rPr>
        <w:t>Ash O'Farrell, UC Santa Cruz</w:t>
      </w:r>
    </w:p>
    <w:p w14:paraId="5E1BE98B" w14:textId="77777777" w:rsidR="00286D1B" w:rsidRDefault="004B1BBD">
      <w:pPr>
        <w:rPr>
          <w:rFonts w:eastAsia="Aptos" w:cstheme="minorHAnsi"/>
          <w:sz w:val="20"/>
        </w:rPr>
      </w:pPr>
      <w:r>
        <w:rPr>
          <w:rFonts w:eastAsia="Aptos" w:cstheme="minorHAnsi"/>
          <w:sz w:val="20"/>
        </w:rPr>
        <w:t xml:space="preserve">Email: </w:t>
      </w:r>
      <w:hyperlink r:id="rId38" w:history="1">
        <w:r>
          <w:rPr>
            <w:rStyle w:val="Hyperlink"/>
            <w:rFonts w:eastAsia="Aptos" w:cstheme="minorHAnsi"/>
            <w:sz w:val="20"/>
          </w:rPr>
          <w:t>aofarrel@ucsc.edu</w:t>
        </w:r>
      </w:hyperlink>
    </w:p>
    <w:p w14:paraId="6FDB6CCF" w14:textId="77777777" w:rsidR="00286D1B" w:rsidRDefault="00286D1B">
      <w:pPr>
        <w:rPr>
          <w:rFonts w:cstheme="minorHAnsi"/>
          <w:sz w:val="20"/>
          <w:szCs w:val="20"/>
        </w:rPr>
      </w:pPr>
    </w:p>
    <w:p w14:paraId="4FEA2FF1" w14:textId="77777777" w:rsidR="00286D1B" w:rsidRDefault="004B1BBD">
      <w:pPr>
        <w:rPr>
          <w:rFonts w:cstheme="minorHAnsi"/>
          <w:sz w:val="20"/>
          <w:szCs w:val="20"/>
        </w:rPr>
      </w:pPr>
      <w:r>
        <w:rPr>
          <w:rFonts w:cstheme="minorHAnsi"/>
          <w:sz w:val="20"/>
          <w:szCs w:val="20"/>
        </w:rPr>
        <w:t>O'Farrell, Ash</w:t>
      </w:r>
      <w:r>
        <w:rPr>
          <w:rFonts w:cs="Calibri (Body)"/>
          <w:sz w:val="18"/>
          <w:szCs w:val="18"/>
          <w:vertAlign w:val="superscript"/>
        </w:rPr>
        <w:t>1</w:t>
      </w:r>
      <w:r>
        <w:rPr>
          <w:rFonts w:cstheme="minorHAnsi"/>
          <w:sz w:val="20"/>
          <w:szCs w:val="20"/>
        </w:rPr>
        <w:t>; Chodvadiya, Dhruvilkumar</w:t>
      </w:r>
      <w:r>
        <w:rPr>
          <w:rFonts w:cs="Calibri (Body)"/>
          <w:sz w:val="18"/>
          <w:szCs w:val="18"/>
          <w:vertAlign w:val="superscript"/>
        </w:rPr>
        <w:t>1</w:t>
      </w:r>
      <w:r>
        <w:rPr>
          <w:rFonts w:cstheme="minorHAnsi"/>
          <w:sz w:val="20"/>
          <w:szCs w:val="20"/>
        </w:rPr>
        <w:t>; Karim, Lily</w:t>
      </w:r>
      <w:r>
        <w:rPr>
          <w:rFonts w:cs="Calibri (Body)"/>
          <w:sz w:val="18"/>
          <w:szCs w:val="18"/>
          <w:vertAlign w:val="superscript"/>
        </w:rPr>
        <w:t>2</w:t>
      </w:r>
      <w:r>
        <w:rPr>
          <w:rFonts w:cstheme="minorHAnsi"/>
          <w:sz w:val="20"/>
          <w:szCs w:val="20"/>
        </w:rPr>
        <w:t>; Corbett-Detig, Russ</w:t>
      </w:r>
      <w:r>
        <w:rPr>
          <w:rFonts w:cs="Calibri (Body)"/>
          <w:sz w:val="18"/>
          <w:szCs w:val="18"/>
          <w:vertAlign w:val="superscript"/>
        </w:rPr>
        <w:t>1,2</w:t>
      </w:r>
    </w:p>
    <w:p w14:paraId="663E1C39" w14:textId="77777777" w:rsidR="00192FAB" w:rsidRDefault="004B1BBD">
      <w:pPr>
        <w:spacing w:line="240" w:lineRule="auto"/>
        <w:contextualSpacing/>
        <w:rPr>
          <w:rFonts w:cstheme="minorHAnsi"/>
          <w:sz w:val="18"/>
          <w:szCs w:val="18"/>
        </w:rPr>
      </w:pPr>
      <w:r>
        <w:rPr>
          <w:rFonts w:cs="Calibri (Body)"/>
          <w:sz w:val="18"/>
          <w:szCs w:val="18"/>
          <w:vertAlign w:val="superscript"/>
        </w:rPr>
        <w:t>1</w:t>
      </w:r>
      <w:r>
        <w:rPr>
          <w:rFonts w:cstheme="minorHAnsi"/>
          <w:sz w:val="18"/>
          <w:szCs w:val="18"/>
        </w:rPr>
        <w:t>Genomics Institute, UC Santa Cruz, CA</w:t>
      </w:r>
    </w:p>
    <w:p w14:paraId="77CD9138" w14:textId="77777777" w:rsidR="00286D1B" w:rsidRDefault="004B1BBD">
      <w:pPr>
        <w:spacing w:line="240" w:lineRule="auto"/>
        <w:contextualSpacing/>
        <w:rPr>
          <w:rFonts w:cstheme="minorHAnsi"/>
          <w:sz w:val="18"/>
          <w:szCs w:val="18"/>
        </w:rPr>
      </w:pPr>
      <w:r>
        <w:rPr>
          <w:rFonts w:cs="Calibri (Body)"/>
          <w:sz w:val="18"/>
          <w:szCs w:val="18"/>
          <w:vertAlign w:val="superscript"/>
        </w:rPr>
        <w:t>2</w:t>
      </w:r>
      <w:r>
        <w:rPr>
          <w:rFonts w:cstheme="minorHAnsi"/>
          <w:sz w:val="18"/>
          <w:szCs w:val="18"/>
        </w:rPr>
        <w:t xml:space="preserve"> School of Engineering, UC Santa Cruz, CA</w:t>
      </w:r>
    </w:p>
    <w:p w14:paraId="2448FB5F" w14:textId="77777777" w:rsidR="00286D1B" w:rsidRDefault="00286D1B">
      <w:pPr>
        <w:rPr>
          <w:rFonts w:cstheme="minorHAnsi"/>
          <w:sz w:val="20"/>
          <w:szCs w:val="20"/>
        </w:rPr>
      </w:pPr>
    </w:p>
    <w:p w14:paraId="1EE01FE4" w14:textId="77777777" w:rsidR="00286D1B" w:rsidRDefault="004B1BBD">
      <w:pPr>
        <w:rPr>
          <w:rFonts w:cstheme="minorHAnsi"/>
          <w:sz w:val="20"/>
          <w:szCs w:val="20"/>
        </w:rPr>
      </w:pPr>
      <w:r>
        <w:rPr>
          <w:rFonts w:cstheme="minorHAnsi"/>
          <w:sz w:val="20"/>
          <w:szCs w:val="20"/>
        </w:rPr>
        <w:t>Unlike many other infectious diseases, tuberculosis can remain undetected for months or years after initial infection, potentially delaying outbreak detection and complicating contact tracing. Local health officials want a system that allows them to focus on tuberculosis associated with their specific county, but the nature of inactive TB means out-of-county data should still be considered and searchable. We worked with the California Department of Health (CDPH) to develop a cluster tracker for tuberculosis that accounts for these issues. This system builds upon previous work using UShER to phylogenetically organize over 100,000 Mycobacterium tuberculosis complex (MTBC) samples from NCBI SRA, as well as UCSC's SARS-CoV-2 cluster tracker.</w:t>
      </w:r>
    </w:p>
    <w:p w14:paraId="17342008" w14:textId="77777777" w:rsidR="00286D1B" w:rsidRDefault="004B1BBD">
      <w:pPr>
        <w:rPr>
          <w:rFonts w:cstheme="minorHAnsi"/>
          <w:sz w:val="20"/>
          <w:szCs w:val="20"/>
        </w:rPr>
      </w:pPr>
      <w:r>
        <w:rPr>
          <w:rFonts w:cstheme="minorHAnsi"/>
          <w:sz w:val="20"/>
          <w:szCs w:val="20"/>
        </w:rPr>
        <w:t>We created an open-source pipeline to automatically fetch, decontaminate, and analyze over 11,000 tuberculosis samples from CDPH, which are placed upon our SRA-derived base tree using UShER. The pipeline queries the resulting tree for closely related samples to define clusters. Our system of clustering is based on genetic distance rather than location to account for inactive tuberculosis' ability to complicate metadata. Opinions in literature vary regarding the "magic number" for defining tuberculosis clusters by genetic distance; we attempt to balance signal-to-noise by providing clusters at a genetic distance of 20, 10, and 5 via a subcluster system, allowing epidemiologists to zoom in or out as necessary. Each cluster is assigned a persistent UUID for longitudinal tracking.</w:t>
      </w:r>
    </w:p>
    <w:p w14:paraId="45BDA135" w14:textId="77777777" w:rsidR="00286D1B" w:rsidRDefault="004B1BBD">
      <w:pPr>
        <w:rPr>
          <w:rFonts w:cstheme="minorHAnsi"/>
          <w:sz w:val="20"/>
          <w:szCs w:val="20"/>
        </w:rPr>
      </w:pPr>
      <w:r>
        <w:rPr>
          <w:rFonts w:cstheme="minorHAnsi"/>
          <w:sz w:val="20"/>
          <w:szCs w:val="20"/>
        </w:rPr>
        <w:t xml:space="preserve">To make cluster information navigable, we built a website </w:t>
      </w:r>
      <w:proofErr w:type="gramStart"/>
      <w:r>
        <w:rPr>
          <w:rFonts w:cstheme="minorHAnsi"/>
          <w:sz w:val="20"/>
          <w:szCs w:val="20"/>
        </w:rPr>
        <w:t>similar to</w:t>
      </w:r>
      <w:proofErr w:type="gramEnd"/>
      <w:r>
        <w:rPr>
          <w:rFonts w:cstheme="minorHAnsi"/>
          <w:sz w:val="20"/>
          <w:szCs w:val="20"/>
        </w:rPr>
        <w:t xml:space="preserve"> the SARS-CoV-2 cluster tracker dashboard, listing clusters as a searchable data table with toggles for genetic distance, patient county, and other metadata. Each cluster on this dashboard table has a link to a Microreact project displaying that cluster's subtree, distance matrix, links to any parent clusters or subclusters, and sample metadata, allowing for quick visualization within a protected ecosystem. Health officials can subscribe to individual clusters and receive an email whenever they change, such as gaining new samples, via this dashboard. Automatic subscription to brand new or newly-updated-existing clusters is also available. This versatile system allows for easy detection and analysis of new and existing outbreaks of tuberculosis.</w:t>
      </w:r>
    </w:p>
    <w:p w14:paraId="16DE40FA" w14:textId="77777777" w:rsidR="00691E24" w:rsidRDefault="00691E24">
      <w:pPr>
        <w:rPr>
          <w:rFonts w:eastAsia="Times New Roman"/>
          <w:color w:val="000000" w:themeColor="text1"/>
          <w:sz w:val="24"/>
          <w:szCs w:val="24"/>
        </w:rPr>
      </w:pPr>
      <w:r>
        <w:rPr>
          <w:rFonts w:eastAsia="Times New Roman"/>
        </w:rPr>
        <w:br w:type="page"/>
      </w:r>
    </w:p>
    <w:p w14:paraId="676F7EAD" w14:textId="77777777" w:rsidR="00286D1B" w:rsidRDefault="004B1BBD">
      <w:pPr>
        <w:pStyle w:val="Heading2"/>
        <w:rPr>
          <w:rFonts w:asciiTheme="minorHAnsi" w:eastAsia="Times New Roman" w:hAnsiTheme="minorHAnsi" w:cstheme="minorBidi"/>
        </w:rPr>
      </w:pPr>
      <w:bookmarkStart w:id="33" w:name="_Toc238729461"/>
      <w:r>
        <w:rPr>
          <w:rFonts w:asciiTheme="minorHAnsi" w:eastAsia="Times New Roman" w:hAnsiTheme="minorHAnsi" w:cstheme="minorBidi"/>
        </w:rPr>
        <w:lastRenderedPageBreak/>
        <w:t>PP-20: Oshiomah Oyageshio, University of California Davis</w:t>
      </w:r>
      <w:bookmarkEnd w:id="33"/>
    </w:p>
    <w:p w14:paraId="3B5B941B" w14:textId="77777777" w:rsidR="00286D1B" w:rsidRDefault="00286D1B">
      <w:pPr>
        <w:rPr>
          <w:rFonts w:cstheme="minorHAnsi"/>
          <w:sz w:val="20"/>
          <w:szCs w:val="20"/>
        </w:rPr>
      </w:pPr>
    </w:p>
    <w:p w14:paraId="434DA0CE" w14:textId="77777777" w:rsidR="00286D1B" w:rsidRDefault="004B1BBD">
      <w:pPr>
        <w:rPr>
          <w:rFonts w:cstheme="minorHAnsi"/>
          <w:sz w:val="24"/>
          <w:szCs w:val="24"/>
        </w:rPr>
      </w:pPr>
      <w:r>
        <w:rPr>
          <w:rFonts w:cstheme="minorHAnsi"/>
          <w:b/>
          <w:bCs/>
          <w:sz w:val="24"/>
          <w:szCs w:val="24"/>
        </w:rPr>
        <w:t>Single Cell Immunogetics of TB in a South African Cohort</w:t>
      </w:r>
    </w:p>
    <w:p w14:paraId="141EE63D" w14:textId="77777777" w:rsidR="00286D1B" w:rsidRDefault="004B1BBD">
      <w:pPr>
        <w:rPr>
          <w:rFonts w:cstheme="minorHAnsi"/>
          <w:sz w:val="20"/>
          <w:szCs w:val="20"/>
        </w:rPr>
      </w:pPr>
      <w:r>
        <w:rPr>
          <w:rFonts w:cstheme="minorHAnsi"/>
          <w:sz w:val="20"/>
          <w:szCs w:val="20"/>
        </w:rPr>
        <w:t>Oshiomah Oyageshio, University of California Davis</w:t>
      </w:r>
    </w:p>
    <w:p w14:paraId="00737F1E" w14:textId="77777777" w:rsidR="00286D1B" w:rsidRDefault="004B1BBD">
      <w:pPr>
        <w:rPr>
          <w:rFonts w:eastAsia="Aptos" w:cstheme="minorHAnsi"/>
          <w:sz w:val="20"/>
        </w:rPr>
      </w:pPr>
      <w:r>
        <w:rPr>
          <w:rFonts w:eastAsia="Aptos" w:cstheme="minorHAnsi"/>
          <w:sz w:val="20"/>
        </w:rPr>
        <w:t xml:space="preserve">Email: </w:t>
      </w:r>
      <w:hyperlink r:id="rId39" w:history="1">
        <w:r>
          <w:rPr>
            <w:rStyle w:val="Hyperlink"/>
            <w:rFonts w:eastAsia="Aptos" w:cstheme="minorHAnsi"/>
            <w:sz w:val="20"/>
          </w:rPr>
          <w:t>oyageshio@ucdavis.edu</w:t>
        </w:r>
      </w:hyperlink>
    </w:p>
    <w:p w14:paraId="69E043EA" w14:textId="77777777" w:rsidR="00286D1B" w:rsidRDefault="00286D1B">
      <w:pPr>
        <w:rPr>
          <w:rFonts w:cstheme="minorHAnsi"/>
          <w:sz w:val="20"/>
          <w:szCs w:val="20"/>
        </w:rPr>
      </w:pPr>
    </w:p>
    <w:p w14:paraId="5B9A53AE" w14:textId="77777777" w:rsidR="00286D1B" w:rsidRDefault="004B1BBD">
      <w:pPr>
        <w:rPr>
          <w:rFonts w:cstheme="minorHAnsi"/>
          <w:sz w:val="20"/>
          <w:szCs w:val="20"/>
        </w:rPr>
      </w:pPr>
      <w:r>
        <w:rPr>
          <w:rFonts w:cstheme="minorHAnsi"/>
          <w:sz w:val="20"/>
          <w:szCs w:val="20"/>
        </w:rPr>
        <w:t>Oyageshio, Oshiomah</w:t>
      </w:r>
      <w:r>
        <w:rPr>
          <w:rFonts w:cs="Calibri (Body)"/>
          <w:sz w:val="18"/>
          <w:szCs w:val="18"/>
          <w:vertAlign w:val="superscript"/>
        </w:rPr>
        <w:t>1</w:t>
      </w:r>
      <w:r>
        <w:rPr>
          <w:rFonts w:cstheme="minorHAnsi"/>
          <w:sz w:val="20"/>
          <w:szCs w:val="20"/>
        </w:rPr>
        <w:t>; Myrick, Justin</w:t>
      </w:r>
      <w:r>
        <w:rPr>
          <w:rFonts w:cs="Calibri (Body)"/>
          <w:sz w:val="18"/>
          <w:szCs w:val="18"/>
          <w:vertAlign w:val="superscript"/>
        </w:rPr>
        <w:t>1</w:t>
      </w:r>
      <w:r>
        <w:rPr>
          <w:rFonts w:cstheme="minorHAnsi"/>
          <w:sz w:val="20"/>
          <w:szCs w:val="20"/>
        </w:rPr>
        <w:t>; Andries, Sabiena</w:t>
      </w:r>
      <w:r>
        <w:rPr>
          <w:rFonts w:cs="Calibri (Body)"/>
          <w:sz w:val="18"/>
          <w:szCs w:val="18"/>
          <w:vertAlign w:val="superscript"/>
        </w:rPr>
        <w:t>3</w:t>
      </w:r>
      <w:r>
        <w:rPr>
          <w:rFonts w:cstheme="minorHAnsi"/>
          <w:sz w:val="20"/>
          <w:szCs w:val="20"/>
        </w:rPr>
        <w:t>; Garza, Celeste</w:t>
      </w:r>
      <w:r>
        <w:rPr>
          <w:rFonts w:cs="Calibri (Body)"/>
          <w:sz w:val="18"/>
          <w:szCs w:val="18"/>
          <w:vertAlign w:val="superscript"/>
        </w:rPr>
        <w:t>2</w:t>
      </w:r>
      <w:r>
        <w:rPr>
          <w:rFonts w:cstheme="minorHAnsi"/>
          <w:sz w:val="20"/>
          <w:szCs w:val="20"/>
        </w:rPr>
        <w:t>; Afzal, Shaista</w:t>
      </w:r>
      <w:r>
        <w:rPr>
          <w:rFonts w:cs="Calibri (Body)"/>
          <w:sz w:val="18"/>
          <w:szCs w:val="18"/>
          <w:vertAlign w:val="superscript"/>
        </w:rPr>
        <w:t>2</w:t>
      </w:r>
      <w:r>
        <w:rPr>
          <w:rFonts w:cstheme="minorHAnsi"/>
          <w:sz w:val="20"/>
          <w:szCs w:val="20"/>
        </w:rPr>
        <w:t>; Boolay, Sihaam</w:t>
      </w:r>
      <w:r>
        <w:rPr>
          <w:rFonts w:cs="Calibri (Body)"/>
          <w:sz w:val="18"/>
          <w:szCs w:val="18"/>
          <w:vertAlign w:val="superscript"/>
        </w:rPr>
        <w:t>3</w:t>
      </w:r>
      <w:r>
        <w:rPr>
          <w:rFonts w:cstheme="minorHAnsi"/>
          <w:sz w:val="20"/>
          <w:szCs w:val="20"/>
        </w:rPr>
        <w:t>; Saayman, Jamie</w:t>
      </w:r>
      <w:r>
        <w:rPr>
          <w:rFonts w:cs="Calibri (Body)"/>
          <w:sz w:val="18"/>
          <w:szCs w:val="18"/>
          <w:vertAlign w:val="superscript"/>
        </w:rPr>
        <w:t>3</w:t>
      </w:r>
      <w:r>
        <w:rPr>
          <w:rFonts w:cstheme="minorHAnsi"/>
          <w:sz w:val="20"/>
          <w:szCs w:val="20"/>
        </w:rPr>
        <w:t>; Hendricks, Tharwat</w:t>
      </w:r>
      <w:r>
        <w:rPr>
          <w:rFonts w:cs="Calibri (Body)"/>
          <w:sz w:val="18"/>
          <w:szCs w:val="18"/>
          <w:vertAlign w:val="superscript"/>
        </w:rPr>
        <w:t>3</w:t>
      </w:r>
      <w:r>
        <w:rPr>
          <w:rFonts w:cstheme="minorHAnsi"/>
          <w:sz w:val="20"/>
          <w:szCs w:val="20"/>
        </w:rPr>
        <w:t>; Yang, Sun</w:t>
      </w:r>
      <w:r>
        <w:rPr>
          <w:rFonts w:cs="Calibri (Body)"/>
          <w:sz w:val="18"/>
          <w:szCs w:val="18"/>
          <w:vertAlign w:val="superscript"/>
        </w:rPr>
        <w:t>2</w:t>
      </w:r>
      <w:r>
        <w:rPr>
          <w:rFonts w:cstheme="minorHAnsi"/>
          <w:sz w:val="20"/>
          <w:szCs w:val="20"/>
        </w:rPr>
        <w:t>; Reynolds, Austin</w:t>
      </w:r>
      <w:r>
        <w:rPr>
          <w:rFonts w:cs="Calibri (Body)"/>
          <w:sz w:val="18"/>
          <w:szCs w:val="18"/>
          <w:vertAlign w:val="superscript"/>
        </w:rPr>
        <w:t>4</w:t>
      </w:r>
      <w:r>
        <w:rPr>
          <w:rFonts w:cstheme="minorHAnsi"/>
          <w:sz w:val="20"/>
          <w:szCs w:val="20"/>
        </w:rPr>
        <w:t>; Moller, Marlo</w:t>
      </w:r>
      <w:r>
        <w:rPr>
          <w:rFonts w:cs="Calibri (Body)"/>
          <w:sz w:val="18"/>
          <w:szCs w:val="18"/>
          <w:vertAlign w:val="superscript"/>
        </w:rPr>
        <w:t>3</w:t>
      </w:r>
      <w:r>
        <w:rPr>
          <w:rFonts w:cstheme="minorHAnsi"/>
          <w:sz w:val="20"/>
          <w:szCs w:val="20"/>
        </w:rPr>
        <w:t>; Chun, Jimmy Ye</w:t>
      </w:r>
      <w:r>
        <w:rPr>
          <w:rFonts w:cs="Calibri (Body)"/>
          <w:sz w:val="18"/>
          <w:szCs w:val="18"/>
          <w:vertAlign w:val="superscript"/>
        </w:rPr>
        <w:t>2</w:t>
      </w:r>
      <w:r>
        <w:rPr>
          <w:rFonts w:cstheme="minorHAnsi"/>
          <w:sz w:val="20"/>
          <w:szCs w:val="20"/>
        </w:rPr>
        <w:t>; Suliman, Sara</w:t>
      </w:r>
      <w:r>
        <w:rPr>
          <w:rFonts w:cs="Calibri (Body)"/>
          <w:sz w:val="18"/>
          <w:szCs w:val="18"/>
          <w:vertAlign w:val="superscript"/>
        </w:rPr>
        <w:t>2</w:t>
      </w:r>
      <w:r>
        <w:rPr>
          <w:rFonts w:cstheme="minorHAnsi"/>
          <w:sz w:val="20"/>
          <w:szCs w:val="20"/>
        </w:rPr>
        <w:t>; Henn, Brenna</w:t>
      </w:r>
      <w:r>
        <w:rPr>
          <w:rFonts w:cs="Calibri (Body)"/>
          <w:sz w:val="18"/>
          <w:szCs w:val="18"/>
          <w:vertAlign w:val="superscript"/>
        </w:rPr>
        <w:t>1</w:t>
      </w:r>
    </w:p>
    <w:p w14:paraId="4A892030" w14:textId="77777777" w:rsidR="00286D1B" w:rsidRDefault="004B1BBD">
      <w:pPr>
        <w:spacing w:line="240" w:lineRule="auto"/>
        <w:contextualSpacing/>
        <w:rPr>
          <w:rFonts w:cstheme="minorHAnsi"/>
          <w:sz w:val="18"/>
          <w:szCs w:val="18"/>
        </w:rPr>
      </w:pPr>
      <w:r>
        <w:rPr>
          <w:rFonts w:cs="Calibri (Body)"/>
          <w:sz w:val="18"/>
          <w:szCs w:val="18"/>
          <w:vertAlign w:val="superscript"/>
        </w:rPr>
        <w:t>1</w:t>
      </w:r>
      <w:r>
        <w:rPr>
          <w:rFonts w:cstheme="minorHAnsi"/>
          <w:sz w:val="18"/>
          <w:szCs w:val="18"/>
        </w:rPr>
        <w:t xml:space="preserve"> University of California, Davis- Davis, CA</w:t>
      </w:r>
    </w:p>
    <w:p w14:paraId="09A4B373" w14:textId="77777777" w:rsidR="00286D1B" w:rsidRDefault="004B1BBD">
      <w:pPr>
        <w:spacing w:line="240" w:lineRule="auto"/>
        <w:contextualSpacing/>
        <w:rPr>
          <w:rFonts w:cstheme="minorHAnsi"/>
          <w:sz w:val="18"/>
          <w:szCs w:val="18"/>
        </w:rPr>
      </w:pPr>
      <w:r>
        <w:rPr>
          <w:rFonts w:cs="Calibri (Body)"/>
          <w:sz w:val="18"/>
          <w:szCs w:val="18"/>
          <w:vertAlign w:val="superscript"/>
        </w:rPr>
        <w:t>2</w:t>
      </w:r>
      <w:r>
        <w:rPr>
          <w:rFonts w:cstheme="minorHAnsi"/>
          <w:sz w:val="18"/>
          <w:szCs w:val="18"/>
        </w:rPr>
        <w:t xml:space="preserve"> University of California, San Francisco- San Francisco, CA</w:t>
      </w:r>
    </w:p>
    <w:p w14:paraId="0E84E65F" w14:textId="77777777" w:rsidR="00286D1B" w:rsidRDefault="004B1BBD">
      <w:pPr>
        <w:spacing w:line="240" w:lineRule="auto"/>
        <w:contextualSpacing/>
        <w:rPr>
          <w:rFonts w:cstheme="minorHAnsi"/>
          <w:sz w:val="18"/>
          <w:szCs w:val="18"/>
        </w:rPr>
      </w:pPr>
      <w:r>
        <w:rPr>
          <w:rFonts w:cs="Calibri (Body)"/>
          <w:sz w:val="18"/>
          <w:szCs w:val="18"/>
          <w:vertAlign w:val="superscript"/>
        </w:rPr>
        <w:t>3</w:t>
      </w:r>
      <w:r>
        <w:rPr>
          <w:rFonts w:cstheme="minorHAnsi"/>
          <w:sz w:val="18"/>
          <w:szCs w:val="18"/>
        </w:rPr>
        <w:t xml:space="preserve"> Stellenbosch University- Cape Town, South Africa</w:t>
      </w:r>
    </w:p>
    <w:p w14:paraId="1B8688B4" w14:textId="77777777" w:rsidR="00286D1B" w:rsidRDefault="004B1BBD">
      <w:pPr>
        <w:spacing w:line="240" w:lineRule="auto"/>
        <w:contextualSpacing/>
        <w:rPr>
          <w:rFonts w:cstheme="minorHAnsi"/>
          <w:sz w:val="18"/>
          <w:szCs w:val="18"/>
        </w:rPr>
      </w:pPr>
      <w:r>
        <w:rPr>
          <w:rFonts w:cs="Calibri (Body)"/>
          <w:sz w:val="18"/>
          <w:szCs w:val="18"/>
          <w:vertAlign w:val="superscript"/>
        </w:rPr>
        <w:t>4</w:t>
      </w:r>
      <w:r>
        <w:rPr>
          <w:rFonts w:cstheme="minorHAnsi"/>
          <w:sz w:val="18"/>
          <w:szCs w:val="18"/>
        </w:rPr>
        <w:t xml:space="preserve"> University of North Texas- Fort Worth, Texas</w:t>
      </w:r>
    </w:p>
    <w:p w14:paraId="13373217" w14:textId="77777777" w:rsidR="00286D1B" w:rsidRDefault="00286D1B">
      <w:pPr>
        <w:rPr>
          <w:rFonts w:cstheme="minorHAnsi"/>
          <w:sz w:val="20"/>
          <w:szCs w:val="20"/>
        </w:rPr>
      </w:pPr>
    </w:p>
    <w:p w14:paraId="478967E2" w14:textId="77777777" w:rsidR="00286D1B" w:rsidRDefault="004B1BBD">
      <w:pPr>
        <w:rPr>
          <w:rFonts w:cstheme="minorHAnsi"/>
          <w:sz w:val="20"/>
          <w:szCs w:val="20"/>
        </w:rPr>
      </w:pPr>
      <w:r>
        <w:rPr>
          <w:rFonts w:cstheme="minorHAnsi"/>
          <w:sz w:val="20"/>
          <w:szCs w:val="20"/>
        </w:rPr>
        <w:t>Tuberculosis (TB) is endemic in our South African study population, with an incidence of 643 per 100,000. We sampled peripheral blood mononuclear cells (PBMCs) from 75 individuals with active TB and 75 latent tuberculosis infection (LTBI) controls; 143 participants were retained in the updated analysis. Active TB cases were GeneXpert-positive, whereas LTBI controls had a positive interferon-gamma release assay and a negative GeneXpert result. We combined single-cell multi-omic profiling with ancestry-aware expression quantitative trait locus (eQTL) mapping to characterize immune dysregulation and genetic control of the TB response. Our sequencing strategy integrated gene expression, cell-surface protein, T-cell receptor, and B-cell receptor measurements across approximately 520,000 PBMCs. Azimuth was used to define immune cell populations and states, quantify disease-associated shifts in cell-type abundance, identify differentially expressed genes, and evaluate enriched biological pathways. Whole-genome sequencing yielded approximately 39 million high-quality variants. Mean log-normalized pseudobulk expression was analyzed using linear mixed models for both baseline eQTL effects and genotype-by-disease interactions, adjusting for disease status, age, sex, transcriptomic principal components, genetic principal components, and batch. We found that active TB reshaped the immune ecosystem through changes in cellular composition, transcriptional state, pathway activation, and context-dependent genetic regulation. Baseline eGene discovery was strongly associated with cell-type abundance, consistent with differences in statistical power. The largest numbers of baseline eGenes were observed in CD4 central memory T cells, CD8 effector memory T cells, natural killer cells, and CD14 monocytes. In contrast, disease-interaction eQTLs followed a distinct pattern. CD16 monocytes, CD8 naïve T cells, CD4 effector memory T cells, and mucosal-associated invariant T cells showed comparatively strong disease-dependent regulatory signals. Cell types with the broadest differential-expression responses did not necessarily show the greatest interaction-eQTL burden. Notably, CD16 monocytes displayed limited compositional change and little baseline eQTL signal, yet one of the strongest disease-interaction signals. These findings indicate that average disease responsiveness and context-dependent genetic regulation represent partly distinct dimensions of TB immunity. Integrating single-cell multi-omics, whole-genome sequencing, and ancestry-aware modeling can reveal regulatory mechanisms that would be obscured in bulk or ancestry-limited studies. This framework improves discovery in genetically diverse, historically underrepresented African and admixed populations globally.</w:t>
      </w:r>
    </w:p>
    <w:p w14:paraId="7D632689" w14:textId="77777777" w:rsidR="00691E24" w:rsidRDefault="00691E24">
      <w:pPr>
        <w:rPr>
          <w:rFonts w:eastAsia="Times New Roman"/>
          <w:color w:val="000000" w:themeColor="text1"/>
          <w:sz w:val="24"/>
          <w:szCs w:val="24"/>
        </w:rPr>
      </w:pPr>
      <w:r>
        <w:rPr>
          <w:rFonts w:eastAsia="Times New Roman"/>
        </w:rPr>
        <w:br w:type="page"/>
      </w:r>
    </w:p>
    <w:p w14:paraId="5FCA4303" w14:textId="77777777" w:rsidR="00286D1B" w:rsidRDefault="004B1BBD">
      <w:pPr>
        <w:pStyle w:val="Heading2"/>
        <w:rPr>
          <w:rFonts w:asciiTheme="minorHAnsi" w:eastAsia="Times New Roman" w:hAnsiTheme="minorHAnsi" w:cstheme="minorBidi"/>
        </w:rPr>
      </w:pPr>
      <w:bookmarkStart w:id="34" w:name="_Toc238729462"/>
      <w:r>
        <w:rPr>
          <w:rFonts w:asciiTheme="minorHAnsi" w:eastAsia="Times New Roman" w:hAnsiTheme="minorHAnsi" w:cstheme="minorBidi"/>
        </w:rPr>
        <w:lastRenderedPageBreak/>
        <w:t>PP-21: Hayley Poore, UC Irvine</w:t>
      </w:r>
      <w:bookmarkEnd w:id="34"/>
    </w:p>
    <w:p w14:paraId="6D79C3D9" w14:textId="77777777" w:rsidR="00286D1B" w:rsidRDefault="00286D1B">
      <w:pPr>
        <w:rPr>
          <w:rFonts w:cstheme="minorHAnsi"/>
          <w:sz w:val="20"/>
          <w:szCs w:val="20"/>
        </w:rPr>
      </w:pPr>
    </w:p>
    <w:p w14:paraId="735B3C0A" w14:textId="77777777" w:rsidR="00286D1B" w:rsidRDefault="004B1BBD">
      <w:pPr>
        <w:rPr>
          <w:rFonts w:cstheme="minorHAnsi"/>
          <w:sz w:val="24"/>
          <w:szCs w:val="24"/>
        </w:rPr>
      </w:pPr>
      <w:r>
        <w:rPr>
          <w:rFonts w:cstheme="minorHAnsi"/>
          <w:b/>
          <w:bCs/>
          <w:sz w:val="24"/>
          <w:szCs w:val="24"/>
        </w:rPr>
        <w:t>Accuracy of swab-based near point-of-care diagnostic platforms for pulmonary tuberculosis in children</w:t>
      </w:r>
    </w:p>
    <w:p w14:paraId="0E1B2E2B" w14:textId="77777777" w:rsidR="00286D1B" w:rsidRDefault="004B1BBD">
      <w:pPr>
        <w:rPr>
          <w:rFonts w:cstheme="minorHAnsi"/>
          <w:sz w:val="20"/>
          <w:szCs w:val="20"/>
        </w:rPr>
      </w:pPr>
      <w:r>
        <w:rPr>
          <w:rFonts w:cstheme="minorHAnsi"/>
          <w:sz w:val="20"/>
          <w:szCs w:val="20"/>
        </w:rPr>
        <w:t>Hayley Poore, UC Irvine</w:t>
      </w:r>
    </w:p>
    <w:p w14:paraId="43C6D5B4" w14:textId="77777777" w:rsidR="00286D1B" w:rsidRDefault="004B1BBD">
      <w:pPr>
        <w:rPr>
          <w:rFonts w:eastAsia="Aptos" w:cstheme="minorHAnsi"/>
          <w:sz w:val="20"/>
        </w:rPr>
      </w:pPr>
      <w:r>
        <w:rPr>
          <w:rFonts w:eastAsia="Aptos" w:cstheme="minorHAnsi"/>
          <w:sz w:val="20"/>
        </w:rPr>
        <w:t xml:space="preserve">Email: </w:t>
      </w:r>
      <w:hyperlink r:id="rId40" w:history="1">
        <w:r>
          <w:rPr>
            <w:rStyle w:val="Hyperlink"/>
            <w:rFonts w:eastAsia="Aptos" w:cstheme="minorHAnsi"/>
            <w:sz w:val="20"/>
          </w:rPr>
          <w:t>pooreh@hs.uci.edu</w:t>
        </w:r>
      </w:hyperlink>
    </w:p>
    <w:p w14:paraId="3E012911" w14:textId="77777777" w:rsidR="00286D1B" w:rsidRDefault="00286D1B">
      <w:pPr>
        <w:rPr>
          <w:rFonts w:cstheme="minorHAnsi"/>
          <w:sz w:val="20"/>
          <w:szCs w:val="20"/>
        </w:rPr>
      </w:pPr>
    </w:p>
    <w:p w14:paraId="4D914060" w14:textId="77777777" w:rsidR="00286D1B" w:rsidRDefault="004B1BBD">
      <w:pPr>
        <w:rPr>
          <w:rFonts w:cstheme="minorHAnsi"/>
          <w:sz w:val="20"/>
          <w:szCs w:val="20"/>
        </w:rPr>
      </w:pPr>
      <w:r>
        <w:rPr>
          <w:rFonts w:cstheme="minorHAnsi"/>
          <w:sz w:val="20"/>
          <w:szCs w:val="20"/>
        </w:rPr>
        <w:t>Poore, Hayley</w:t>
      </w:r>
      <w:r>
        <w:rPr>
          <w:rFonts w:cs="Calibri (Body)"/>
          <w:sz w:val="18"/>
          <w:szCs w:val="18"/>
          <w:vertAlign w:val="superscript"/>
        </w:rPr>
        <w:t>1,2</w:t>
      </w:r>
      <w:r>
        <w:rPr>
          <w:rFonts w:cstheme="minorHAnsi"/>
          <w:sz w:val="20"/>
          <w:szCs w:val="20"/>
        </w:rPr>
        <w:t>; Castro, Robert</w:t>
      </w:r>
      <w:r>
        <w:rPr>
          <w:rFonts w:cs="Calibri (Body)"/>
          <w:sz w:val="18"/>
          <w:szCs w:val="18"/>
          <w:vertAlign w:val="superscript"/>
        </w:rPr>
        <w:t>2</w:t>
      </w:r>
      <w:r>
        <w:rPr>
          <w:rFonts w:cstheme="minorHAnsi"/>
          <w:sz w:val="20"/>
          <w:szCs w:val="20"/>
        </w:rPr>
        <w:t>; Cook, Catherine</w:t>
      </w:r>
      <w:r>
        <w:rPr>
          <w:rFonts w:cs="Calibri (Body)"/>
          <w:sz w:val="18"/>
          <w:szCs w:val="18"/>
          <w:vertAlign w:val="superscript"/>
        </w:rPr>
        <w:t>2</w:t>
      </w:r>
      <w:r>
        <w:rPr>
          <w:rFonts w:cstheme="minorHAnsi"/>
          <w:sz w:val="20"/>
          <w:szCs w:val="20"/>
        </w:rPr>
        <w:t>; Gavin, Quinn</w:t>
      </w:r>
      <w:r>
        <w:rPr>
          <w:rFonts w:cs="Calibri (Body)"/>
          <w:sz w:val="18"/>
          <w:szCs w:val="18"/>
          <w:vertAlign w:val="superscript"/>
        </w:rPr>
        <w:t>1,2</w:t>
      </w:r>
      <w:r>
        <w:rPr>
          <w:rFonts w:cstheme="minorHAnsi"/>
          <w:sz w:val="20"/>
          <w:szCs w:val="20"/>
        </w:rPr>
        <w:t>; Greenberg, Lauren</w:t>
      </w:r>
      <w:r>
        <w:rPr>
          <w:rFonts w:cs="Calibri (Body)"/>
          <w:sz w:val="18"/>
          <w:szCs w:val="18"/>
          <w:vertAlign w:val="superscript"/>
        </w:rPr>
        <w:t>3</w:t>
      </w:r>
      <w:r>
        <w:rPr>
          <w:rFonts w:cstheme="minorHAnsi"/>
          <w:sz w:val="20"/>
          <w:szCs w:val="20"/>
        </w:rPr>
        <w:t>; Narayanan, Naythra</w:t>
      </w:r>
      <w:r>
        <w:rPr>
          <w:rFonts w:cs="Calibri (Body)"/>
          <w:sz w:val="18"/>
          <w:szCs w:val="18"/>
          <w:vertAlign w:val="superscript"/>
        </w:rPr>
        <w:t>2</w:t>
      </w:r>
      <w:r>
        <w:rPr>
          <w:rFonts w:cstheme="minorHAnsi"/>
          <w:sz w:val="20"/>
          <w:szCs w:val="20"/>
        </w:rPr>
        <w:t>; Bhatt, Nilesh</w:t>
      </w:r>
      <w:r>
        <w:rPr>
          <w:rFonts w:cs="Calibri (Body)"/>
          <w:sz w:val="18"/>
          <w:szCs w:val="18"/>
          <w:vertAlign w:val="superscript"/>
        </w:rPr>
        <w:t>3</w:t>
      </w:r>
      <w:r>
        <w:rPr>
          <w:rFonts w:cstheme="minorHAnsi"/>
          <w:sz w:val="20"/>
          <w:szCs w:val="20"/>
        </w:rPr>
        <w:t>; Khosa, Celso</w:t>
      </w:r>
      <w:r>
        <w:rPr>
          <w:rFonts w:cs="Calibri (Body)"/>
          <w:sz w:val="18"/>
          <w:szCs w:val="18"/>
          <w:vertAlign w:val="superscript"/>
        </w:rPr>
        <w:t>4</w:t>
      </w:r>
      <w:r>
        <w:rPr>
          <w:rFonts w:cstheme="minorHAnsi"/>
          <w:sz w:val="20"/>
          <w:szCs w:val="20"/>
        </w:rPr>
        <w:t>; Wobudeya, Eric</w:t>
      </w:r>
      <w:r>
        <w:rPr>
          <w:rFonts w:cs="Calibri (Body)"/>
          <w:sz w:val="18"/>
          <w:szCs w:val="18"/>
          <w:vertAlign w:val="superscript"/>
        </w:rPr>
        <w:t>5</w:t>
      </w:r>
      <w:r>
        <w:rPr>
          <w:rFonts w:cstheme="minorHAnsi"/>
          <w:sz w:val="20"/>
          <w:szCs w:val="20"/>
        </w:rPr>
        <w:t>; Zar, Heather J</w:t>
      </w:r>
      <w:r>
        <w:rPr>
          <w:rFonts w:cs="Calibri (Body)"/>
          <w:sz w:val="18"/>
          <w:szCs w:val="18"/>
          <w:vertAlign w:val="superscript"/>
        </w:rPr>
        <w:t>6</w:t>
      </w:r>
      <w:r>
        <w:rPr>
          <w:rFonts w:cstheme="minorHAnsi"/>
          <w:sz w:val="20"/>
          <w:szCs w:val="20"/>
        </w:rPr>
        <w:t>; Kerkhoff, Andrew</w:t>
      </w:r>
      <w:r>
        <w:rPr>
          <w:rFonts w:cs="Calibri (Body)"/>
          <w:sz w:val="18"/>
          <w:szCs w:val="18"/>
          <w:vertAlign w:val="superscript"/>
        </w:rPr>
        <w:t>2</w:t>
      </w:r>
      <w:r>
        <w:rPr>
          <w:rFonts w:cstheme="minorHAnsi"/>
          <w:sz w:val="20"/>
          <w:szCs w:val="20"/>
        </w:rPr>
        <w:t>; Kato-Maeda, Midori</w:t>
      </w:r>
      <w:r>
        <w:rPr>
          <w:rFonts w:cs="Calibri (Body)"/>
          <w:sz w:val="18"/>
          <w:szCs w:val="18"/>
          <w:vertAlign w:val="superscript"/>
        </w:rPr>
        <w:t>2</w:t>
      </w:r>
      <w:r>
        <w:rPr>
          <w:rFonts w:cstheme="minorHAnsi"/>
          <w:sz w:val="20"/>
          <w:szCs w:val="20"/>
        </w:rPr>
        <w:t>; Phillips, Patrick</w:t>
      </w:r>
      <w:r>
        <w:rPr>
          <w:rFonts w:cs="Calibri (Body)"/>
          <w:sz w:val="18"/>
          <w:szCs w:val="18"/>
          <w:vertAlign w:val="superscript"/>
        </w:rPr>
        <w:t>2</w:t>
      </w:r>
      <w:r>
        <w:rPr>
          <w:rFonts w:cstheme="minorHAnsi"/>
          <w:sz w:val="20"/>
          <w:szCs w:val="20"/>
        </w:rPr>
        <w:t>; Nahid, Payam</w:t>
      </w:r>
      <w:r>
        <w:rPr>
          <w:rFonts w:cs="Calibri (Body)"/>
          <w:sz w:val="18"/>
          <w:szCs w:val="18"/>
          <w:vertAlign w:val="superscript"/>
        </w:rPr>
        <w:t>2</w:t>
      </w:r>
      <w:r>
        <w:rPr>
          <w:rFonts w:cstheme="minorHAnsi"/>
          <w:sz w:val="20"/>
          <w:szCs w:val="20"/>
        </w:rPr>
        <w:t>; Denkinger, Claudia</w:t>
      </w:r>
      <w:r>
        <w:rPr>
          <w:rFonts w:cs="Calibri (Body)"/>
          <w:sz w:val="18"/>
          <w:szCs w:val="18"/>
          <w:vertAlign w:val="superscript"/>
        </w:rPr>
        <w:t>7</w:t>
      </w:r>
      <w:r>
        <w:rPr>
          <w:rFonts w:cstheme="minorHAnsi"/>
          <w:sz w:val="20"/>
          <w:szCs w:val="20"/>
        </w:rPr>
        <w:t>; Cattamanchi, Adithya</w:t>
      </w:r>
      <w:r>
        <w:rPr>
          <w:rFonts w:cs="Calibri (Body)"/>
          <w:sz w:val="18"/>
          <w:szCs w:val="18"/>
          <w:vertAlign w:val="superscript"/>
        </w:rPr>
        <w:t>1,2</w:t>
      </w:r>
      <w:r>
        <w:rPr>
          <w:rFonts w:cstheme="minorHAnsi"/>
          <w:sz w:val="20"/>
          <w:szCs w:val="20"/>
        </w:rPr>
        <w:t>; Jaganath, Devan</w:t>
      </w:r>
      <w:r>
        <w:rPr>
          <w:rFonts w:cs="Calibri (Body)"/>
          <w:sz w:val="18"/>
          <w:szCs w:val="18"/>
          <w:vertAlign w:val="superscript"/>
        </w:rPr>
        <w:t>2</w:t>
      </w:r>
    </w:p>
    <w:p w14:paraId="585F7C7D" w14:textId="77777777" w:rsidR="00286D1B" w:rsidRDefault="004B1BBD">
      <w:pPr>
        <w:spacing w:line="240" w:lineRule="auto"/>
        <w:contextualSpacing/>
        <w:rPr>
          <w:rFonts w:cstheme="minorHAnsi"/>
          <w:sz w:val="18"/>
          <w:szCs w:val="18"/>
        </w:rPr>
      </w:pPr>
      <w:r>
        <w:rPr>
          <w:rFonts w:cs="Calibri (Body)"/>
          <w:sz w:val="18"/>
          <w:szCs w:val="18"/>
          <w:vertAlign w:val="superscript"/>
        </w:rPr>
        <w:t>1</w:t>
      </w:r>
      <w:r>
        <w:rPr>
          <w:rFonts w:cstheme="minorHAnsi"/>
          <w:sz w:val="18"/>
          <w:szCs w:val="18"/>
        </w:rPr>
        <w:t xml:space="preserve"> University of California Irvine, Irvine, California</w:t>
      </w:r>
    </w:p>
    <w:p w14:paraId="6237AA8A" w14:textId="77777777" w:rsidR="00286D1B" w:rsidRDefault="004B1BBD">
      <w:pPr>
        <w:spacing w:line="240" w:lineRule="auto"/>
        <w:contextualSpacing/>
        <w:rPr>
          <w:rFonts w:cstheme="minorHAnsi"/>
          <w:sz w:val="18"/>
          <w:szCs w:val="18"/>
        </w:rPr>
      </w:pPr>
      <w:r>
        <w:rPr>
          <w:rFonts w:cs="Calibri (Body)"/>
          <w:sz w:val="18"/>
          <w:szCs w:val="18"/>
          <w:vertAlign w:val="superscript"/>
        </w:rPr>
        <w:t>2</w:t>
      </w:r>
      <w:r>
        <w:rPr>
          <w:rFonts w:cstheme="minorHAnsi"/>
          <w:sz w:val="18"/>
          <w:szCs w:val="18"/>
        </w:rPr>
        <w:t xml:space="preserve"> University of California San Francisco, San Francisco, California</w:t>
      </w:r>
    </w:p>
    <w:p w14:paraId="0C9655E4" w14:textId="77777777" w:rsidR="00286D1B" w:rsidRDefault="004B1BBD">
      <w:pPr>
        <w:spacing w:line="240" w:lineRule="auto"/>
        <w:contextualSpacing/>
        <w:rPr>
          <w:rFonts w:cstheme="minorHAnsi"/>
          <w:sz w:val="18"/>
          <w:szCs w:val="18"/>
        </w:rPr>
      </w:pPr>
      <w:r>
        <w:rPr>
          <w:rFonts w:cs="Calibri (Body)"/>
          <w:sz w:val="18"/>
          <w:szCs w:val="18"/>
          <w:vertAlign w:val="superscript"/>
        </w:rPr>
        <w:t>3</w:t>
      </w:r>
      <w:r>
        <w:rPr>
          <w:rFonts w:cstheme="minorHAnsi"/>
          <w:sz w:val="18"/>
          <w:szCs w:val="18"/>
        </w:rPr>
        <w:t xml:space="preserve"> Elizabeth Glaser Pediatric AIDS Foundation, Washington, DC</w:t>
      </w:r>
    </w:p>
    <w:p w14:paraId="7E69B290" w14:textId="77777777" w:rsidR="00286D1B" w:rsidRDefault="004B1BBD">
      <w:pPr>
        <w:spacing w:line="240" w:lineRule="auto"/>
        <w:contextualSpacing/>
        <w:rPr>
          <w:rFonts w:cstheme="minorHAnsi"/>
          <w:sz w:val="18"/>
          <w:szCs w:val="18"/>
        </w:rPr>
      </w:pPr>
      <w:r>
        <w:rPr>
          <w:rFonts w:cs="Calibri (Body)"/>
          <w:sz w:val="18"/>
          <w:szCs w:val="18"/>
          <w:vertAlign w:val="superscript"/>
        </w:rPr>
        <w:t>4</w:t>
      </w:r>
      <w:r>
        <w:rPr>
          <w:rFonts w:cstheme="minorHAnsi"/>
          <w:sz w:val="18"/>
          <w:szCs w:val="18"/>
        </w:rPr>
        <w:t xml:space="preserve"> Instituto Nacional de Saúde, Maputo, Mozambique</w:t>
      </w:r>
    </w:p>
    <w:p w14:paraId="37F43AFE" w14:textId="77777777" w:rsidR="00286D1B" w:rsidRDefault="004B1BBD">
      <w:pPr>
        <w:spacing w:line="240" w:lineRule="auto"/>
        <w:contextualSpacing/>
        <w:rPr>
          <w:rFonts w:cstheme="minorHAnsi"/>
          <w:sz w:val="18"/>
          <w:szCs w:val="18"/>
        </w:rPr>
      </w:pPr>
      <w:r>
        <w:rPr>
          <w:rFonts w:cs="Calibri (Body)"/>
          <w:sz w:val="18"/>
          <w:szCs w:val="18"/>
          <w:vertAlign w:val="superscript"/>
        </w:rPr>
        <w:t>5</w:t>
      </w:r>
      <w:r>
        <w:rPr>
          <w:rFonts w:cstheme="minorHAnsi"/>
          <w:sz w:val="18"/>
          <w:szCs w:val="18"/>
        </w:rPr>
        <w:t xml:space="preserve"> Uganda Tuberculosis Implementation Research Consortium, Kampala, Uganda</w:t>
      </w:r>
    </w:p>
    <w:p w14:paraId="2F8805B4" w14:textId="77777777" w:rsidR="00286D1B" w:rsidRDefault="004B1BBD">
      <w:pPr>
        <w:spacing w:line="240" w:lineRule="auto"/>
        <w:contextualSpacing/>
        <w:rPr>
          <w:rFonts w:cstheme="minorHAnsi"/>
          <w:sz w:val="18"/>
          <w:szCs w:val="18"/>
        </w:rPr>
      </w:pPr>
      <w:r>
        <w:rPr>
          <w:rFonts w:cs="Calibri (Body)"/>
          <w:sz w:val="18"/>
          <w:szCs w:val="18"/>
          <w:vertAlign w:val="superscript"/>
        </w:rPr>
        <w:t>6</w:t>
      </w:r>
      <w:r>
        <w:rPr>
          <w:rFonts w:cstheme="minorHAnsi"/>
          <w:sz w:val="18"/>
          <w:szCs w:val="18"/>
        </w:rPr>
        <w:t xml:space="preserve"> University of Cape Town, Cape Town, South Africa</w:t>
      </w:r>
    </w:p>
    <w:p w14:paraId="104FA5A8" w14:textId="77777777" w:rsidR="00286D1B" w:rsidRDefault="004B1BBD">
      <w:pPr>
        <w:spacing w:line="240" w:lineRule="auto"/>
        <w:contextualSpacing/>
        <w:rPr>
          <w:rFonts w:cstheme="minorHAnsi"/>
          <w:sz w:val="18"/>
          <w:szCs w:val="18"/>
        </w:rPr>
      </w:pPr>
      <w:r>
        <w:rPr>
          <w:rFonts w:cs="Calibri (Body)"/>
          <w:sz w:val="18"/>
          <w:szCs w:val="18"/>
          <w:vertAlign w:val="superscript"/>
        </w:rPr>
        <w:t>7</w:t>
      </w:r>
      <w:r>
        <w:rPr>
          <w:rFonts w:cstheme="minorHAnsi"/>
          <w:sz w:val="18"/>
          <w:szCs w:val="18"/>
        </w:rPr>
        <w:t xml:space="preserve"> University Hospital of Heidelberg, Heidelberg, Germany</w:t>
      </w:r>
    </w:p>
    <w:p w14:paraId="5A92DAA6" w14:textId="77777777" w:rsidR="00286D1B" w:rsidRDefault="00286D1B">
      <w:pPr>
        <w:rPr>
          <w:rFonts w:cstheme="minorHAnsi"/>
          <w:sz w:val="20"/>
          <w:szCs w:val="20"/>
        </w:rPr>
      </w:pPr>
    </w:p>
    <w:p w14:paraId="4EDAEA1F" w14:textId="77777777" w:rsidR="00967449" w:rsidRDefault="004B1BBD">
      <w:pPr>
        <w:rPr>
          <w:rFonts w:cstheme="minorHAnsi"/>
          <w:sz w:val="20"/>
          <w:szCs w:val="20"/>
        </w:rPr>
      </w:pPr>
      <w:r>
        <w:rPr>
          <w:rFonts w:cstheme="minorHAnsi"/>
          <w:b/>
          <w:bCs/>
          <w:sz w:val="20"/>
          <w:szCs w:val="20"/>
        </w:rPr>
        <w:t>Background:</w:t>
      </w:r>
      <w:r>
        <w:rPr>
          <w:rFonts w:cstheme="minorHAnsi"/>
          <w:sz w:val="20"/>
          <w:szCs w:val="20"/>
        </w:rPr>
        <w:t xml:space="preserve"> Swab-based testing using near point-of-care (nPOC) platforms was recently approved by the World Health Organization (WHO). Children could greatly benefit from this rapid approach to increase microbiological confirmation, but greater evidence is needed. </w:t>
      </w:r>
    </w:p>
    <w:p w14:paraId="3F547C9B" w14:textId="77777777" w:rsidR="00967449" w:rsidRDefault="004B1BBD">
      <w:pPr>
        <w:rPr>
          <w:rFonts w:cstheme="minorHAnsi"/>
          <w:sz w:val="20"/>
          <w:szCs w:val="20"/>
        </w:rPr>
      </w:pPr>
      <w:r>
        <w:rPr>
          <w:rFonts w:cstheme="minorHAnsi"/>
          <w:b/>
          <w:bCs/>
          <w:sz w:val="20"/>
          <w:szCs w:val="20"/>
        </w:rPr>
        <w:t>Methods:</w:t>
      </w:r>
      <w:r>
        <w:rPr>
          <w:rFonts w:cstheme="minorHAnsi"/>
          <w:sz w:val="20"/>
          <w:szCs w:val="20"/>
        </w:rPr>
        <w:t xml:space="preserve"> We conducted a prospective diagnostic accuracy study of MiniDock MTB (Pluslife, China) and MTB Ultima (Molbio Diagnostics, India) among children &lt;15 years with presumptive TB in Uganda and South Africa. Each child underwent standard respiratory testing for TB with Xpert Ultra or Cobas MTB molecular assays, smear microscopy and culture. Two tongue swabs were collected and tested on the nPOC platforms, and in Uganda an additional sputum-dipped swab was tested on MiniDock MTB. We calculated the sensitivity and specificity of the nPOC tests against a culture-based reference </w:t>
      </w:r>
      <w:proofErr w:type="gramStart"/>
      <w:r>
        <w:rPr>
          <w:rFonts w:cstheme="minorHAnsi"/>
          <w:sz w:val="20"/>
          <w:szCs w:val="20"/>
        </w:rPr>
        <w:t>standard, and</w:t>
      </w:r>
      <w:proofErr w:type="gramEnd"/>
      <w:r>
        <w:rPr>
          <w:rFonts w:cstheme="minorHAnsi"/>
          <w:sz w:val="20"/>
          <w:szCs w:val="20"/>
        </w:rPr>
        <w:t xml:space="preserve"> compared the accuracy of the nPOC platforms versus molecular testing and smear microscopy. </w:t>
      </w:r>
    </w:p>
    <w:p w14:paraId="273D1BE1" w14:textId="77777777" w:rsidR="00967449" w:rsidRDefault="004B1BBD">
      <w:pPr>
        <w:rPr>
          <w:rFonts w:cstheme="minorHAnsi"/>
          <w:sz w:val="20"/>
          <w:szCs w:val="20"/>
        </w:rPr>
      </w:pPr>
      <w:r>
        <w:rPr>
          <w:rFonts w:cstheme="minorHAnsi"/>
          <w:b/>
          <w:bCs/>
          <w:sz w:val="20"/>
          <w:szCs w:val="20"/>
        </w:rPr>
        <w:t>Results:</w:t>
      </w:r>
      <w:r>
        <w:rPr>
          <w:rFonts w:cstheme="minorHAnsi"/>
          <w:sz w:val="20"/>
          <w:szCs w:val="20"/>
        </w:rPr>
        <w:t xml:space="preserve"> We included 335 children with a median age of 3 years (IQR 1-6), 53% female, 11% HIV-positive, and 38 (11%) were culture-positive. Swabs were collected in all children, and invalid rates were &lt;3% for both platforms. The sensitivities of MiniDock MTB and MTB Ultima tongue swab testing were 47.4% (95% CI 31.0–64.2) and 50.0% (95% CI 28.2–71.8), respectively, while specificity was 98.3% (95% CI 96.1–99.4) and 97.8% (95% CI 94.5–99.4) when compared to culture. This was </w:t>
      </w:r>
      <w:proofErr w:type="gramStart"/>
      <w:r>
        <w:rPr>
          <w:rFonts w:cstheme="minorHAnsi"/>
          <w:sz w:val="20"/>
          <w:szCs w:val="20"/>
        </w:rPr>
        <w:t>similar to</w:t>
      </w:r>
      <w:proofErr w:type="gramEnd"/>
      <w:r>
        <w:rPr>
          <w:rFonts w:cstheme="minorHAnsi"/>
          <w:sz w:val="20"/>
          <w:szCs w:val="20"/>
        </w:rPr>
        <w:t xml:space="preserve"> sputum smear microscopy, but less sensitive than sputum molecular testing. The sensitivity of sputum swab was 82.1% (95% CI 63.1–93.9), and specificity was 98.1% (95% CI 95.1–99.5), and was </w:t>
      </w:r>
      <w:proofErr w:type="gramStart"/>
      <w:r>
        <w:rPr>
          <w:rFonts w:cstheme="minorHAnsi"/>
          <w:sz w:val="20"/>
          <w:szCs w:val="20"/>
        </w:rPr>
        <w:t>similar to</w:t>
      </w:r>
      <w:proofErr w:type="gramEnd"/>
      <w:r>
        <w:rPr>
          <w:rFonts w:cstheme="minorHAnsi"/>
          <w:sz w:val="20"/>
          <w:szCs w:val="20"/>
        </w:rPr>
        <w:t xml:space="preserve"> sputum molecular testing. </w:t>
      </w:r>
    </w:p>
    <w:p w14:paraId="6E634AD8" w14:textId="77777777" w:rsidR="00286D1B" w:rsidRDefault="004B1BBD">
      <w:pPr>
        <w:rPr>
          <w:rFonts w:cstheme="minorHAnsi"/>
          <w:sz w:val="20"/>
          <w:szCs w:val="20"/>
        </w:rPr>
      </w:pPr>
      <w:r>
        <w:rPr>
          <w:rFonts w:cstheme="minorHAnsi"/>
          <w:b/>
          <w:bCs/>
          <w:sz w:val="20"/>
          <w:szCs w:val="20"/>
        </w:rPr>
        <w:t>Conclusions:</w:t>
      </w:r>
      <w:r>
        <w:rPr>
          <w:rFonts w:cstheme="minorHAnsi"/>
          <w:sz w:val="20"/>
          <w:szCs w:val="20"/>
        </w:rPr>
        <w:t xml:space="preserve"> Sputum-swab testing approximated the WHO target product profile for an nPOC assay and demonstrated comparable accuracy to current molecular testing. Tongue swab–based nPOC testing also shows promise as a non-invasive method to increase confirmation of pediatric TB when sputum is not available.</w:t>
      </w:r>
    </w:p>
    <w:p w14:paraId="723B44F0" w14:textId="77777777" w:rsidR="00691E24" w:rsidRDefault="00691E24">
      <w:pPr>
        <w:rPr>
          <w:rFonts w:eastAsia="Times New Roman"/>
          <w:color w:val="000000" w:themeColor="text1"/>
          <w:sz w:val="24"/>
          <w:szCs w:val="24"/>
        </w:rPr>
      </w:pPr>
      <w:r>
        <w:rPr>
          <w:rFonts w:eastAsia="Times New Roman"/>
        </w:rPr>
        <w:br w:type="page"/>
      </w:r>
    </w:p>
    <w:p w14:paraId="66D0B0C8" w14:textId="77777777" w:rsidR="00286D1B" w:rsidRDefault="004B1BBD">
      <w:pPr>
        <w:pStyle w:val="Heading2"/>
        <w:rPr>
          <w:rFonts w:asciiTheme="minorHAnsi" w:eastAsia="Times New Roman" w:hAnsiTheme="minorHAnsi" w:cstheme="minorBidi"/>
        </w:rPr>
      </w:pPr>
      <w:bookmarkStart w:id="35" w:name="_Toc238729463"/>
      <w:r>
        <w:rPr>
          <w:rFonts w:asciiTheme="minorHAnsi" w:eastAsia="Times New Roman" w:hAnsiTheme="minorHAnsi" w:cstheme="minorBidi"/>
        </w:rPr>
        <w:lastRenderedPageBreak/>
        <w:t>PP-22: Sumanth Reddy, UCSF</w:t>
      </w:r>
      <w:bookmarkEnd w:id="35"/>
    </w:p>
    <w:p w14:paraId="6F1AE3C3" w14:textId="77777777" w:rsidR="00286D1B" w:rsidRDefault="00286D1B">
      <w:pPr>
        <w:rPr>
          <w:rFonts w:cstheme="minorHAnsi"/>
          <w:sz w:val="20"/>
          <w:szCs w:val="20"/>
        </w:rPr>
      </w:pPr>
    </w:p>
    <w:p w14:paraId="75A09A63" w14:textId="77777777" w:rsidR="00286D1B" w:rsidRDefault="004B1BBD">
      <w:pPr>
        <w:rPr>
          <w:rFonts w:cstheme="minorHAnsi"/>
          <w:sz w:val="24"/>
          <w:szCs w:val="24"/>
        </w:rPr>
      </w:pPr>
      <w:r>
        <w:rPr>
          <w:rFonts w:cstheme="minorHAnsi"/>
          <w:b/>
          <w:bCs/>
          <w:sz w:val="24"/>
          <w:szCs w:val="24"/>
        </w:rPr>
        <w:t>Metagenomic next-generation sequencing for diagnostic reclassification in tuberculous meningitis: a substudy of the HARVEST trial</w:t>
      </w:r>
    </w:p>
    <w:p w14:paraId="2D4FAD0B" w14:textId="77777777" w:rsidR="00286D1B" w:rsidRDefault="004B1BBD">
      <w:pPr>
        <w:rPr>
          <w:rFonts w:cstheme="minorHAnsi"/>
          <w:sz w:val="20"/>
          <w:szCs w:val="20"/>
        </w:rPr>
      </w:pPr>
      <w:r>
        <w:rPr>
          <w:rFonts w:cstheme="minorHAnsi"/>
          <w:sz w:val="20"/>
          <w:szCs w:val="20"/>
        </w:rPr>
        <w:t>Sumanth Reddy, UCSF</w:t>
      </w:r>
    </w:p>
    <w:p w14:paraId="64AE5A2F" w14:textId="77777777" w:rsidR="00286D1B" w:rsidRDefault="004B1BBD">
      <w:pPr>
        <w:rPr>
          <w:rFonts w:eastAsia="Aptos" w:cstheme="minorHAnsi"/>
          <w:sz w:val="20"/>
        </w:rPr>
      </w:pPr>
      <w:r>
        <w:rPr>
          <w:rFonts w:eastAsia="Aptos" w:cstheme="minorHAnsi"/>
          <w:sz w:val="20"/>
        </w:rPr>
        <w:t xml:space="preserve">Email: </w:t>
      </w:r>
      <w:hyperlink r:id="rId41" w:history="1">
        <w:r>
          <w:rPr>
            <w:rStyle w:val="Hyperlink"/>
            <w:rFonts w:eastAsia="Aptos" w:cstheme="minorHAnsi"/>
            <w:sz w:val="20"/>
          </w:rPr>
          <w:t>sumanth.reddy@ucsf.edu</w:t>
        </w:r>
      </w:hyperlink>
    </w:p>
    <w:p w14:paraId="0FC69917" w14:textId="77777777" w:rsidR="00286D1B" w:rsidRDefault="00286D1B">
      <w:pPr>
        <w:rPr>
          <w:rFonts w:cstheme="minorHAnsi"/>
          <w:sz w:val="20"/>
          <w:szCs w:val="20"/>
        </w:rPr>
      </w:pPr>
    </w:p>
    <w:p w14:paraId="50EBBCEE" w14:textId="77777777" w:rsidR="00286D1B" w:rsidRDefault="004B1BBD">
      <w:pPr>
        <w:rPr>
          <w:rFonts w:cstheme="minorHAnsi"/>
          <w:sz w:val="20"/>
          <w:szCs w:val="20"/>
        </w:rPr>
      </w:pPr>
      <w:r>
        <w:rPr>
          <w:rFonts w:cstheme="minorHAnsi"/>
          <w:sz w:val="20"/>
          <w:szCs w:val="20"/>
        </w:rPr>
        <w:t>Reddy, Sumanth</w:t>
      </w:r>
      <w:r>
        <w:rPr>
          <w:rFonts w:cs="Calibri (Body)"/>
          <w:sz w:val="18"/>
          <w:szCs w:val="18"/>
          <w:vertAlign w:val="superscript"/>
        </w:rPr>
        <w:t>1</w:t>
      </w:r>
      <w:r>
        <w:rPr>
          <w:rFonts w:cstheme="minorHAnsi"/>
          <w:sz w:val="20"/>
          <w:szCs w:val="20"/>
        </w:rPr>
        <w:t>; Wilson, Michael</w:t>
      </w:r>
    </w:p>
    <w:p w14:paraId="7EBBCB6D" w14:textId="77777777" w:rsidR="00286D1B" w:rsidRDefault="004B1BBD">
      <w:pPr>
        <w:spacing w:line="240" w:lineRule="auto"/>
        <w:contextualSpacing/>
        <w:rPr>
          <w:rFonts w:cstheme="minorHAnsi"/>
          <w:sz w:val="18"/>
          <w:szCs w:val="18"/>
        </w:rPr>
      </w:pPr>
      <w:r>
        <w:rPr>
          <w:rFonts w:cs="Calibri (Body)"/>
          <w:sz w:val="18"/>
          <w:szCs w:val="18"/>
          <w:vertAlign w:val="superscript"/>
        </w:rPr>
        <w:t>1</w:t>
      </w:r>
      <w:r>
        <w:rPr>
          <w:rFonts w:cstheme="minorHAnsi"/>
          <w:sz w:val="18"/>
          <w:szCs w:val="18"/>
        </w:rPr>
        <w:t xml:space="preserve"> Department of Neurology, University of California San Francisco</w:t>
      </w:r>
    </w:p>
    <w:p w14:paraId="0578140E" w14:textId="77777777" w:rsidR="00286D1B" w:rsidRDefault="00286D1B">
      <w:pPr>
        <w:rPr>
          <w:rFonts w:cstheme="minorHAnsi"/>
          <w:sz w:val="20"/>
          <w:szCs w:val="20"/>
        </w:rPr>
      </w:pPr>
    </w:p>
    <w:p w14:paraId="6AA60F83" w14:textId="77777777" w:rsidR="00286D1B" w:rsidRDefault="004B1BBD">
      <w:pPr>
        <w:rPr>
          <w:rFonts w:cstheme="minorHAnsi"/>
          <w:sz w:val="20"/>
          <w:szCs w:val="20"/>
        </w:rPr>
      </w:pPr>
      <w:r>
        <w:rPr>
          <w:rFonts w:cstheme="minorHAnsi"/>
          <w:sz w:val="20"/>
          <w:szCs w:val="20"/>
        </w:rPr>
        <w:t>Tuberculous meningitis (TBM) is diagnosed microbiologically via culture, smear, and Xpert MTB/RIF Ultra testing of cerebrospinal fluid (CSF), all of which have imperfect sensitivity. As a result, a substantial proportion of are treated for TBM without microbiologic confirmation, and undetected co-pathogens may be misattributed to tuberculosis. We used metagenomic next-generation sequencing (mNGS) of CSF to reassess diagnostic categories among participants enrolled in HARVEST, a multinational, double-blind, randomized, placebo-controlled trial comparing high-dose to standard-dose rifampin in adults with TBM, which found no mortality benefit of high-dose rifampin.</w:t>
      </w:r>
    </w:p>
    <w:p w14:paraId="7FADF7CB" w14:textId="77777777" w:rsidR="00286D1B" w:rsidRDefault="004B1BBD">
      <w:pPr>
        <w:rPr>
          <w:rFonts w:cstheme="minorHAnsi"/>
          <w:sz w:val="20"/>
          <w:szCs w:val="20"/>
        </w:rPr>
      </w:pPr>
      <w:r>
        <w:rPr>
          <w:rFonts w:cstheme="minorHAnsi"/>
          <w:sz w:val="20"/>
          <w:szCs w:val="20"/>
        </w:rPr>
        <w:t>Among 200 participants enrolled at the Kampala, Uganda site, CSF mNGS results were available for 177 (88.5%). mNGS detected M. tuberculosis in 14 of 110 participants (12.7%) with a pre-mNGS probable or possible TBM diagnosis, reclassifying them as definite TBM. A non-MTB pathogen was detected in 21 of 177 participants (11.9%). These participants had lower baseline CD4 counts than the remainder of the cohort (median, 42.5 vs. 84.0 cells/mm³; p=0.016). Co-infection/alternate infection was numerically more common in the high-dose rifampin group than the standard-dose group (16.3% vs. 7.7%; p=0.10), but 6- and 12-month mortality did not differ significantly by treatment group whether co-infected/alternate-infection participants were included or excluded (hazard ratios, 0.73 and 0.77, both favoring standard dose, neither statistically significant), mirroring the parent trial’s null result. Pegivirus hominis, detected in 23 of 177 participants (13.0%), was not considered a pathogen for the purposes of this analysis, but a separate analysis found that the presence of this virus in CSF associated with lower mortality at 12 months (26.1% vs. 48.7%; p=0.046; Cox hazard ratio for non-detection vs. detection, 2.17; 95% CI, 0.94–4.99).</w:t>
      </w:r>
    </w:p>
    <w:p w14:paraId="50081377" w14:textId="77777777" w:rsidR="00286D1B" w:rsidRDefault="004B1BBD">
      <w:pPr>
        <w:rPr>
          <w:rFonts w:cstheme="minorHAnsi"/>
          <w:sz w:val="20"/>
          <w:szCs w:val="20"/>
        </w:rPr>
      </w:pPr>
      <w:r>
        <w:rPr>
          <w:rFonts w:cstheme="minorHAnsi"/>
          <w:sz w:val="20"/>
          <w:szCs w:val="20"/>
        </w:rPr>
        <w:t>mNGS of CSF meaningfully reclassifies TBM diagnoses both by confirming tuberculosis in probable/possible cases and by identifying co-existing pathogens in roughly one in eight participants. These co-pathogens do not appear to explain the absence of a treatment effect of high-dose rifampin, but the unexpected association between Pegivirus hominis detection and improved survival is hypothesis-generating and warrants further investigation into its immunologic significance in tuberculous meningitis.</w:t>
      </w:r>
    </w:p>
    <w:p w14:paraId="60DFABA6" w14:textId="77777777" w:rsidR="00691E24" w:rsidRDefault="00691E24">
      <w:pPr>
        <w:rPr>
          <w:rFonts w:eastAsia="Times New Roman"/>
          <w:color w:val="000000" w:themeColor="text1"/>
          <w:sz w:val="24"/>
          <w:szCs w:val="24"/>
        </w:rPr>
      </w:pPr>
      <w:r>
        <w:rPr>
          <w:rFonts w:eastAsia="Times New Roman"/>
        </w:rPr>
        <w:br w:type="page"/>
      </w:r>
    </w:p>
    <w:p w14:paraId="7FC8DCF6" w14:textId="77777777" w:rsidR="00286D1B" w:rsidRDefault="004B1BBD">
      <w:pPr>
        <w:pStyle w:val="Heading2"/>
        <w:rPr>
          <w:rFonts w:asciiTheme="minorHAnsi" w:eastAsia="Times New Roman" w:hAnsiTheme="minorHAnsi" w:cstheme="minorBidi"/>
        </w:rPr>
      </w:pPr>
      <w:bookmarkStart w:id="36" w:name="_Toc238729464"/>
      <w:r>
        <w:rPr>
          <w:rFonts w:asciiTheme="minorHAnsi" w:eastAsia="Times New Roman" w:hAnsiTheme="minorHAnsi" w:cstheme="minorBidi"/>
        </w:rPr>
        <w:lastRenderedPageBreak/>
        <w:t>PP-23: Yashleen Sharma, University of California San Francisco</w:t>
      </w:r>
      <w:bookmarkEnd w:id="36"/>
    </w:p>
    <w:p w14:paraId="57D1CB84" w14:textId="77777777" w:rsidR="00286D1B" w:rsidRDefault="00286D1B">
      <w:pPr>
        <w:rPr>
          <w:rFonts w:cstheme="minorHAnsi"/>
          <w:sz w:val="20"/>
          <w:szCs w:val="20"/>
        </w:rPr>
      </w:pPr>
    </w:p>
    <w:p w14:paraId="2679746D" w14:textId="77777777" w:rsidR="00286D1B" w:rsidRDefault="004B1BBD">
      <w:pPr>
        <w:rPr>
          <w:rFonts w:cstheme="minorHAnsi"/>
          <w:sz w:val="24"/>
          <w:szCs w:val="24"/>
        </w:rPr>
      </w:pPr>
      <w:r>
        <w:rPr>
          <w:rFonts w:cstheme="minorHAnsi"/>
          <w:b/>
          <w:bCs/>
          <w:sz w:val="24"/>
          <w:szCs w:val="24"/>
        </w:rPr>
        <w:t>Evaluating the cost-effectiveness of short-course regimens for multidrug/rifampicin-resistant tuberculosis across 30 high-burden countries</w:t>
      </w:r>
    </w:p>
    <w:p w14:paraId="1C743B89" w14:textId="77777777" w:rsidR="00286D1B" w:rsidRDefault="004B1BBD">
      <w:pPr>
        <w:rPr>
          <w:rFonts w:cstheme="minorHAnsi"/>
          <w:sz w:val="20"/>
          <w:szCs w:val="20"/>
        </w:rPr>
      </w:pPr>
      <w:r>
        <w:rPr>
          <w:rFonts w:cstheme="minorHAnsi"/>
          <w:sz w:val="20"/>
          <w:szCs w:val="20"/>
        </w:rPr>
        <w:t>Yashleen Sharma, University of California San Francisco</w:t>
      </w:r>
    </w:p>
    <w:p w14:paraId="321CCA9E" w14:textId="77777777" w:rsidR="00286D1B" w:rsidRDefault="004B1BBD">
      <w:pPr>
        <w:rPr>
          <w:rFonts w:eastAsia="Aptos" w:cstheme="minorHAnsi"/>
          <w:sz w:val="20"/>
        </w:rPr>
      </w:pPr>
      <w:r>
        <w:rPr>
          <w:rFonts w:eastAsia="Aptos" w:cstheme="minorHAnsi"/>
          <w:sz w:val="20"/>
        </w:rPr>
        <w:t xml:space="preserve">Email: </w:t>
      </w:r>
      <w:hyperlink r:id="rId42" w:history="1">
        <w:r>
          <w:rPr>
            <w:rStyle w:val="Hyperlink"/>
            <w:rFonts w:eastAsia="Aptos" w:cstheme="minorHAnsi"/>
            <w:sz w:val="20"/>
          </w:rPr>
          <w:t>yashleen.sharma@ucsf.edu</w:t>
        </w:r>
      </w:hyperlink>
    </w:p>
    <w:p w14:paraId="1595CCB1" w14:textId="77777777" w:rsidR="00286D1B" w:rsidRDefault="00286D1B">
      <w:pPr>
        <w:rPr>
          <w:rFonts w:cstheme="minorHAnsi"/>
          <w:sz w:val="20"/>
          <w:szCs w:val="20"/>
        </w:rPr>
      </w:pPr>
    </w:p>
    <w:p w14:paraId="2EDA6C1B" w14:textId="77777777" w:rsidR="00286D1B" w:rsidRDefault="004B1BBD">
      <w:pPr>
        <w:rPr>
          <w:rFonts w:cstheme="minorHAnsi"/>
          <w:sz w:val="20"/>
          <w:szCs w:val="20"/>
        </w:rPr>
      </w:pPr>
      <w:r>
        <w:rPr>
          <w:rFonts w:cstheme="minorHAnsi"/>
          <w:sz w:val="20"/>
          <w:szCs w:val="20"/>
        </w:rPr>
        <w:t>Sharma, Yashleen</w:t>
      </w:r>
      <w:r>
        <w:rPr>
          <w:rFonts w:cs="Calibri (Body)"/>
          <w:sz w:val="18"/>
          <w:szCs w:val="18"/>
          <w:vertAlign w:val="superscript"/>
        </w:rPr>
        <w:t>1</w:t>
      </w:r>
      <w:r>
        <w:rPr>
          <w:rFonts w:cstheme="minorHAnsi"/>
          <w:sz w:val="20"/>
          <w:szCs w:val="20"/>
        </w:rPr>
        <w:t>; Yaesoubi, Reza</w:t>
      </w:r>
      <w:r>
        <w:rPr>
          <w:rFonts w:cs="Calibri (Body)"/>
          <w:sz w:val="18"/>
          <w:szCs w:val="18"/>
          <w:vertAlign w:val="superscript"/>
        </w:rPr>
        <w:t>1,2</w:t>
      </w:r>
    </w:p>
    <w:p w14:paraId="0C721E6E" w14:textId="77777777" w:rsidR="00192FAB" w:rsidRDefault="004B1BBD">
      <w:pPr>
        <w:spacing w:line="240" w:lineRule="auto"/>
        <w:contextualSpacing/>
        <w:rPr>
          <w:rFonts w:cstheme="minorHAnsi"/>
          <w:sz w:val="18"/>
          <w:szCs w:val="18"/>
        </w:rPr>
      </w:pPr>
      <w:r>
        <w:rPr>
          <w:rFonts w:cs="Calibri (Body)"/>
          <w:sz w:val="18"/>
          <w:szCs w:val="18"/>
          <w:vertAlign w:val="superscript"/>
        </w:rPr>
        <w:t>1</w:t>
      </w:r>
      <w:r>
        <w:rPr>
          <w:rFonts w:cstheme="minorHAnsi"/>
          <w:sz w:val="18"/>
          <w:szCs w:val="18"/>
        </w:rPr>
        <w:t xml:space="preserve"> Philip R. Lee Institute for Health Policy Studies, University of California San Francisco</w:t>
      </w:r>
    </w:p>
    <w:p w14:paraId="1106148A" w14:textId="77777777" w:rsidR="00286D1B" w:rsidRDefault="004B1BBD">
      <w:pPr>
        <w:spacing w:line="240" w:lineRule="auto"/>
        <w:contextualSpacing/>
        <w:rPr>
          <w:rFonts w:cstheme="minorHAnsi"/>
          <w:sz w:val="18"/>
          <w:szCs w:val="18"/>
        </w:rPr>
      </w:pPr>
      <w:r>
        <w:rPr>
          <w:rFonts w:cs="Calibri (Body)"/>
          <w:sz w:val="18"/>
          <w:szCs w:val="18"/>
          <w:vertAlign w:val="superscript"/>
        </w:rPr>
        <w:t>2</w:t>
      </w:r>
      <w:r>
        <w:rPr>
          <w:rFonts w:cstheme="minorHAnsi"/>
          <w:sz w:val="18"/>
          <w:szCs w:val="18"/>
        </w:rPr>
        <w:t xml:space="preserve"> Epidemiology and Biostatistics, University of California San Francisco</w:t>
      </w:r>
    </w:p>
    <w:p w14:paraId="314EBCEA" w14:textId="77777777" w:rsidR="00286D1B" w:rsidRDefault="00286D1B">
      <w:pPr>
        <w:rPr>
          <w:rFonts w:cstheme="minorHAnsi"/>
          <w:sz w:val="20"/>
          <w:szCs w:val="20"/>
        </w:rPr>
      </w:pPr>
    </w:p>
    <w:p w14:paraId="34B21B20" w14:textId="77777777" w:rsidR="00286D1B" w:rsidRDefault="004B1BBD">
      <w:pPr>
        <w:rPr>
          <w:rFonts w:cstheme="minorHAnsi"/>
          <w:sz w:val="20"/>
          <w:szCs w:val="20"/>
        </w:rPr>
      </w:pPr>
      <w:r>
        <w:rPr>
          <w:rFonts w:cstheme="minorHAnsi"/>
          <w:b/>
          <w:bCs/>
          <w:sz w:val="20"/>
          <w:szCs w:val="20"/>
        </w:rPr>
        <w:t>Purpose:</w:t>
      </w:r>
      <w:r>
        <w:rPr>
          <w:rFonts w:cstheme="minorHAnsi"/>
          <w:sz w:val="20"/>
          <w:szCs w:val="20"/>
        </w:rPr>
        <w:t xml:space="preserve"> Drug-resistant tuberculosis (TB) remains a major global health challenge, causing more than one million deaths annually. The WHO-recommended six-month BPaLM regimen (bedaquiline, pretomanid, linezolid, and moxifloxacin) has demonstrated superior treatment outcomes compared with conventional multidrug-resistant TB regimens. However, because BPaLM includes moxifloxacin, its effectiveness may be reduced in settings with a high prevalence of fluoroquinolone (FQ) resistance. We evaluated the cost-effectiveness of BPaLM compared with the fluoroquinolone-sparing BPaL regimen across countries with varying levels of baseline FQ resistance.</w:t>
      </w:r>
    </w:p>
    <w:p w14:paraId="2FC7645B" w14:textId="77777777" w:rsidR="00286D1B" w:rsidRDefault="004B1BBD">
      <w:pPr>
        <w:rPr>
          <w:rFonts w:cstheme="minorHAnsi"/>
          <w:sz w:val="20"/>
          <w:szCs w:val="20"/>
        </w:rPr>
      </w:pPr>
      <w:r>
        <w:rPr>
          <w:rFonts w:cstheme="minorHAnsi"/>
          <w:b/>
          <w:bCs/>
          <w:sz w:val="20"/>
          <w:szCs w:val="20"/>
        </w:rPr>
        <w:t>Methods:</w:t>
      </w:r>
      <w:r>
        <w:rPr>
          <w:rFonts w:cstheme="minorHAnsi"/>
          <w:sz w:val="20"/>
          <w:szCs w:val="20"/>
        </w:rPr>
        <w:t xml:space="preserve"> We developed an individual-level probabilistic continuous-time Markov model to simulate the lifetime clinical and economic outcomes of patients with multidrug/rifampicin-resistant (MDR/RR) TB. Individuals entered the model with bacteriologically confirmed MDR/RR-TB and were assigned FQ resistance according to country-specific prevalence estimates. Treatment outcomes, including cure, treatment failure, loss to follow-up, and death, were parameterized using data from the TB-PRACTECAL trial. Country-specific treatment costs were estimated using the Value TB dataset and included drug costs, laboratory monitoring, clinical evaluations, and monthly supportive care. Costs were converted to 2024 US dollars using World Bank purchasing power parity conversion factors. Lifetime costs and quality-adjusted life-years (QALYs) were discounted at 3% annually. We compared discounted lifetime costs and QALYs for BPaLM and BPaL across 30 low- and middle-income countries with a high MDR/RR-TB burden.</w:t>
      </w:r>
    </w:p>
    <w:p w14:paraId="0F61C6B6" w14:textId="77777777" w:rsidR="00286D1B" w:rsidRDefault="004B1BBD">
      <w:pPr>
        <w:rPr>
          <w:rFonts w:cstheme="minorHAnsi"/>
          <w:sz w:val="20"/>
          <w:szCs w:val="20"/>
        </w:rPr>
      </w:pPr>
      <w:r>
        <w:rPr>
          <w:rFonts w:cstheme="minorHAnsi"/>
          <w:b/>
          <w:bCs/>
          <w:sz w:val="20"/>
          <w:szCs w:val="20"/>
        </w:rPr>
        <w:t>Results:</w:t>
      </w:r>
      <w:r>
        <w:rPr>
          <w:rFonts w:cstheme="minorHAnsi"/>
          <w:sz w:val="20"/>
          <w:szCs w:val="20"/>
        </w:rPr>
        <w:t xml:space="preserve"> Across all 30 countries, BPaLM produced greater health benefits at lower lifetime cost than BPaL, making it the economically dominant strategy. Incremental discounted cost savings ranged from USD 26 to USD 48 per patient (mean: USD 38), while incremental QALYs gained ranged from 0.30 to 0.50 per patient (mean: 0.38).</w:t>
      </w:r>
    </w:p>
    <w:p w14:paraId="3510EAD1" w14:textId="77777777" w:rsidR="00286D1B" w:rsidRDefault="004B1BBD">
      <w:pPr>
        <w:rPr>
          <w:rFonts w:cstheme="minorHAnsi"/>
          <w:sz w:val="20"/>
          <w:szCs w:val="20"/>
        </w:rPr>
      </w:pPr>
      <w:r>
        <w:rPr>
          <w:rFonts w:cstheme="minorHAnsi"/>
          <w:b/>
          <w:bCs/>
          <w:sz w:val="20"/>
          <w:szCs w:val="20"/>
        </w:rPr>
        <w:t>Conclusion:</w:t>
      </w:r>
      <w:r>
        <w:rPr>
          <w:rFonts w:cstheme="minorHAnsi"/>
          <w:sz w:val="20"/>
          <w:szCs w:val="20"/>
        </w:rPr>
        <w:t xml:space="preserve"> Despite substantial variation in TB incidence, MDR/RR-TB burden, and fluoroquinolone resistance prevalence across countries, BPaLM remained economically dominant in every setting evaluated. These findings suggest that BPaLM is a robust, cost-saving, and health-improving treatment strategy for MDR/RR-TB, even in settings with a high prevalence of fluoroquinolone resistance.</w:t>
      </w:r>
    </w:p>
    <w:p w14:paraId="650D1E54" w14:textId="77777777" w:rsidR="00691E24" w:rsidRDefault="00691E24">
      <w:pPr>
        <w:rPr>
          <w:rFonts w:eastAsia="Times New Roman"/>
          <w:color w:val="000000" w:themeColor="text1"/>
          <w:sz w:val="24"/>
          <w:szCs w:val="24"/>
        </w:rPr>
      </w:pPr>
      <w:r>
        <w:rPr>
          <w:rFonts w:eastAsia="Times New Roman"/>
        </w:rPr>
        <w:br w:type="page"/>
      </w:r>
    </w:p>
    <w:p w14:paraId="43516484" w14:textId="77777777" w:rsidR="00286D1B" w:rsidRDefault="004B1BBD">
      <w:pPr>
        <w:pStyle w:val="Heading2"/>
        <w:rPr>
          <w:rFonts w:asciiTheme="minorHAnsi" w:eastAsia="Times New Roman" w:hAnsiTheme="minorHAnsi" w:cstheme="minorBidi"/>
        </w:rPr>
      </w:pPr>
      <w:bookmarkStart w:id="37" w:name="_Toc238729465"/>
      <w:r>
        <w:rPr>
          <w:rFonts w:asciiTheme="minorHAnsi" w:eastAsia="Times New Roman" w:hAnsiTheme="minorHAnsi" w:cstheme="minorBidi"/>
        </w:rPr>
        <w:lastRenderedPageBreak/>
        <w:t>PP-24: Brinda Srinivasan, University of California, Berkeley</w:t>
      </w:r>
      <w:bookmarkEnd w:id="37"/>
    </w:p>
    <w:p w14:paraId="2489FA4A" w14:textId="77777777" w:rsidR="00286D1B" w:rsidRDefault="00286D1B">
      <w:pPr>
        <w:rPr>
          <w:rFonts w:cstheme="minorHAnsi"/>
          <w:sz w:val="20"/>
          <w:szCs w:val="20"/>
        </w:rPr>
      </w:pPr>
    </w:p>
    <w:p w14:paraId="5C53B6A8" w14:textId="77777777" w:rsidR="00286D1B" w:rsidRDefault="004B1BBD">
      <w:pPr>
        <w:rPr>
          <w:rFonts w:cstheme="minorHAnsi"/>
          <w:sz w:val="24"/>
          <w:szCs w:val="24"/>
        </w:rPr>
      </w:pPr>
      <w:r>
        <w:rPr>
          <w:rFonts w:cstheme="minorHAnsi"/>
          <w:b/>
          <w:bCs/>
          <w:sz w:val="24"/>
          <w:szCs w:val="24"/>
        </w:rPr>
        <w:t>A Suppressor Screen to Identify Mycobacterial Modulators of Translational Fidelity</w:t>
      </w:r>
    </w:p>
    <w:p w14:paraId="129339B4" w14:textId="77777777" w:rsidR="00286D1B" w:rsidRDefault="004B1BBD">
      <w:pPr>
        <w:rPr>
          <w:rFonts w:cstheme="minorHAnsi"/>
          <w:sz w:val="20"/>
          <w:szCs w:val="20"/>
        </w:rPr>
      </w:pPr>
      <w:r>
        <w:rPr>
          <w:rFonts w:cstheme="minorHAnsi"/>
          <w:sz w:val="20"/>
          <w:szCs w:val="20"/>
        </w:rPr>
        <w:t>Brinda Srinivasan, University of California, Berkeley</w:t>
      </w:r>
    </w:p>
    <w:p w14:paraId="35196CBB" w14:textId="77777777" w:rsidR="00286D1B" w:rsidRDefault="004B1BBD">
      <w:pPr>
        <w:rPr>
          <w:rFonts w:eastAsia="Aptos" w:cstheme="minorHAnsi"/>
          <w:sz w:val="20"/>
        </w:rPr>
      </w:pPr>
      <w:r>
        <w:rPr>
          <w:rFonts w:eastAsia="Aptos" w:cstheme="minorHAnsi"/>
          <w:sz w:val="20"/>
        </w:rPr>
        <w:t xml:space="preserve">Email: </w:t>
      </w:r>
      <w:hyperlink r:id="rId43" w:history="1">
        <w:r>
          <w:rPr>
            <w:rStyle w:val="Hyperlink"/>
            <w:rFonts w:eastAsia="Aptos" w:cstheme="minorHAnsi"/>
            <w:sz w:val="20"/>
          </w:rPr>
          <w:t>brindasrn@berkeley.edu</w:t>
        </w:r>
      </w:hyperlink>
    </w:p>
    <w:p w14:paraId="2B6D2092" w14:textId="77777777" w:rsidR="00286D1B" w:rsidRDefault="00286D1B">
      <w:pPr>
        <w:rPr>
          <w:rFonts w:cstheme="minorHAnsi"/>
          <w:sz w:val="20"/>
          <w:szCs w:val="20"/>
        </w:rPr>
      </w:pPr>
    </w:p>
    <w:p w14:paraId="14874454" w14:textId="77777777" w:rsidR="00286D1B" w:rsidRDefault="004B1BBD">
      <w:pPr>
        <w:rPr>
          <w:rFonts w:cstheme="minorHAnsi"/>
          <w:sz w:val="20"/>
          <w:szCs w:val="20"/>
        </w:rPr>
      </w:pPr>
      <w:r>
        <w:rPr>
          <w:rFonts w:cstheme="minorHAnsi"/>
          <w:sz w:val="20"/>
          <w:szCs w:val="20"/>
        </w:rPr>
        <w:t>Srinivasan, Brinda; Joshi, Hemant; Javid, Babak</w:t>
      </w:r>
    </w:p>
    <w:p w14:paraId="24550257" w14:textId="77777777" w:rsidR="00286D1B" w:rsidRDefault="004B1BBD">
      <w:pPr>
        <w:spacing w:line="240" w:lineRule="auto"/>
        <w:contextualSpacing/>
        <w:rPr>
          <w:rFonts w:cstheme="minorHAnsi"/>
          <w:sz w:val="18"/>
          <w:szCs w:val="18"/>
        </w:rPr>
      </w:pPr>
      <w:r>
        <w:rPr>
          <w:rFonts w:cstheme="minorHAnsi"/>
          <w:sz w:val="18"/>
          <w:szCs w:val="18"/>
        </w:rPr>
        <w:t>UCSF, San Francisco, CA</w:t>
      </w:r>
    </w:p>
    <w:p w14:paraId="6C478371" w14:textId="77777777" w:rsidR="00286D1B" w:rsidRDefault="00286D1B">
      <w:pPr>
        <w:rPr>
          <w:rFonts w:cstheme="minorHAnsi"/>
          <w:sz w:val="20"/>
          <w:szCs w:val="20"/>
        </w:rPr>
      </w:pPr>
    </w:p>
    <w:p w14:paraId="0E8A7CF7" w14:textId="77777777" w:rsidR="00286D1B" w:rsidRDefault="004B1BBD">
      <w:pPr>
        <w:rPr>
          <w:rFonts w:cstheme="minorHAnsi"/>
          <w:sz w:val="20"/>
          <w:szCs w:val="20"/>
        </w:rPr>
      </w:pPr>
      <w:r>
        <w:rPr>
          <w:rFonts w:cstheme="minorHAnsi"/>
          <w:sz w:val="20"/>
          <w:szCs w:val="20"/>
        </w:rPr>
        <w:t>Background of ribosomal mistranslation in mycobacteria: Mycobacteria have unusually high rates of translation errors due to the absence of canonical glutaminyl- and asparaginyl-tRNA synthetases. Instead, these organisms rely on an indirect aminoacylation pathway in which tRNAs are initially mischarged with the wrong amino acid (Glu for Gln and Asp for Asn</w:t>
      </w:r>
      <w:proofErr w:type="gramStart"/>
      <w:r>
        <w:rPr>
          <w:rFonts w:cstheme="minorHAnsi"/>
          <w:sz w:val="20"/>
          <w:szCs w:val="20"/>
        </w:rPr>
        <w:t>), and</w:t>
      </w:r>
      <w:proofErr w:type="gramEnd"/>
      <w:r>
        <w:rPr>
          <w:rFonts w:cstheme="minorHAnsi"/>
          <w:sz w:val="20"/>
          <w:szCs w:val="20"/>
        </w:rPr>
        <w:t xml:space="preserve"> then corrected by the GatCAB amidotransferase complex. While this system enables viability, it is inherently error-prone, leading to mistranslation rates orders of magnitude higher than those observed in model organisms such as E. coli.</w:t>
      </w:r>
    </w:p>
    <w:p w14:paraId="71E8CD65" w14:textId="77777777" w:rsidR="00286D1B" w:rsidRDefault="004B1BBD">
      <w:pPr>
        <w:rPr>
          <w:rFonts w:cstheme="minorHAnsi"/>
          <w:sz w:val="20"/>
          <w:szCs w:val="20"/>
        </w:rPr>
      </w:pPr>
      <w:r>
        <w:rPr>
          <w:rFonts w:cstheme="minorHAnsi"/>
          <w:sz w:val="20"/>
          <w:szCs w:val="20"/>
        </w:rPr>
        <w:t>GidB gene background: Recent work from our group has identified the ribosomal RNA methyltransferase GidB as a key modulator of translational fidelity under conditions of elevated mistranslation. A suppressor screen using a high-mistranslating Mycobacterium smegmatis strain (namely HWS19) was performed. The basis of this screen was that HWS19 was more susceptible to the mistranslation-inducing aminoglycoside streptomycin. Whole-genome sequencing of these suppressors revealed several candidate loci, including gidB. Functional validation through gene deletion, complementation, and dual-luciferase reporter assays confirmed that loss of GidB enhances translational fidelity in this context.</w:t>
      </w:r>
    </w:p>
    <w:p w14:paraId="0B1C8857" w14:textId="77777777" w:rsidR="00286D1B" w:rsidRDefault="004B1BBD">
      <w:pPr>
        <w:rPr>
          <w:rFonts w:cstheme="minorHAnsi"/>
          <w:sz w:val="20"/>
          <w:szCs w:val="20"/>
        </w:rPr>
      </w:pPr>
      <w:r>
        <w:rPr>
          <w:rFonts w:cstheme="minorHAnsi"/>
          <w:sz w:val="20"/>
          <w:szCs w:val="20"/>
        </w:rPr>
        <w:t>Project goal and experimental plan: Building on these findings, this project aims to identify additional genetic determinants that modulate ribosomal mistranslation in mycobacteria. We will perform a secondary suppressor screen to systematically uncover novel loci influencing translational fidelity, while excluding recurrent gidB mutations. Candidate regions will be functionally validated using reporter-based mistranslation assays, followed by whole-genome sequencing to define the underlying mutations.</w:t>
      </w:r>
    </w:p>
    <w:p w14:paraId="60A7339E" w14:textId="77777777" w:rsidR="00286D1B" w:rsidRDefault="004B1BBD">
      <w:pPr>
        <w:rPr>
          <w:rFonts w:cstheme="minorHAnsi"/>
          <w:sz w:val="20"/>
          <w:szCs w:val="20"/>
        </w:rPr>
      </w:pPr>
      <w:r>
        <w:rPr>
          <w:rFonts w:cstheme="minorHAnsi"/>
          <w:sz w:val="20"/>
          <w:szCs w:val="20"/>
        </w:rPr>
        <w:t>This work aims to expand our understanding of the genetic architecture governing translational fidelity in mycobacteria and to elucidate why these organisms maintain a seemingly inefficient yet potentially adaptive error-prone translation system.</w:t>
      </w:r>
    </w:p>
    <w:p w14:paraId="09740F37" w14:textId="77777777" w:rsidR="00691E24" w:rsidRDefault="00691E24">
      <w:pPr>
        <w:rPr>
          <w:rFonts w:eastAsia="Times New Roman"/>
          <w:color w:val="000000" w:themeColor="text1"/>
          <w:sz w:val="24"/>
          <w:szCs w:val="24"/>
        </w:rPr>
      </w:pPr>
      <w:r>
        <w:rPr>
          <w:rFonts w:eastAsia="Times New Roman"/>
        </w:rPr>
        <w:br w:type="page"/>
      </w:r>
    </w:p>
    <w:p w14:paraId="44786A27" w14:textId="77777777" w:rsidR="00286D1B" w:rsidRDefault="004B1BBD">
      <w:pPr>
        <w:pStyle w:val="Heading2"/>
        <w:rPr>
          <w:rFonts w:asciiTheme="minorHAnsi" w:eastAsia="Times New Roman" w:hAnsiTheme="minorHAnsi" w:cstheme="minorBidi"/>
        </w:rPr>
      </w:pPr>
      <w:bookmarkStart w:id="38" w:name="_Toc238729466"/>
      <w:r>
        <w:rPr>
          <w:rFonts w:asciiTheme="minorHAnsi" w:eastAsia="Times New Roman" w:hAnsiTheme="minorHAnsi" w:cstheme="minorBidi"/>
        </w:rPr>
        <w:lastRenderedPageBreak/>
        <w:t>PP-25: Steven Tan, Fluxus</w:t>
      </w:r>
      <w:bookmarkEnd w:id="38"/>
    </w:p>
    <w:p w14:paraId="5A8D2458" w14:textId="77777777" w:rsidR="00286D1B" w:rsidRDefault="00286D1B">
      <w:pPr>
        <w:rPr>
          <w:rFonts w:cstheme="minorHAnsi"/>
          <w:sz w:val="20"/>
          <w:szCs w:val="20"/>
        </w:rPr>
      </w:pPr>
    </w:p>
    <w:p w14:paraId="73B83D6D" w14:textId="77777777" w:rsidR="00286D1B" w:rsidRDefault="004B1BBD">
      <w:pPr>
        <w:rPr>
          <w:rFonts w:cstheme="minorHAnsi"/>
          <w:sz w:val="24"/>
          <w:szCs w:val="24"/>
        </w:rPr>
      </w:pPr>
      <w:r>
        <w:rPr>
          <w:rFonts w:cstheme="minorHAnsi"/>
          <w:b/>
          <w:bCs/>
          <w:sz w:val="24"/>
          <w:szCs w:val="24"/>
        </w:rPr>
        <w:t>Ultrasensitive quantification of urinary LAM for improved tuberculosis diagnosis across diverse patient populations</w:t>
      </w:r>
    </w:p>
    <w:p w14:paraId="7E19694B" w14:textId="77777777" w:rsidR="00286D1B" w:rsidRDefault="004B1BBD">
      <w:pPr>
        <w:rPr>
          <w:rFonts w:cstheme="minorHAnsi"/>
          <w:sz w:val="20"/>
          <w:szCs w:val="20"/>
        </w:rPr>
      </w:pPr>
      <w:r>
        <w:rPr>
          <w:rFonts w:cstheme="minorHAnsi"/>
          <w:sz w:val="20"/>
          <w:szCs w:val="20"/>
        </w:rPr>
        <w:t>Steven Tan, Fluxus</w:t>
      </w:r>
    </w:p>
    <w:p w14:paraId="2FE95543" w14:textId="77777777" w:rsidR="00286D1B" w:rsidRDefault="004B1BBD">
      <w:pPr>
        <w:rPr>
          <w:rFonts w:eastAsia="Aptos" w:cstheme="minorHAnsi"/>
          <w:sz w:val="20"/>
        </w:rPr>
      </w:pPr>
      <w:r>
        <w:rPr>
          <w:rFonts w:eastAsia="Aptos" w:cstheme="minorHAnsi"/>
          <w:sz w:val="20"/>
        </w:rPr>
        <w:t xml:space="preserve">Email: </w:t>
      </w:r>
      <w:hyperlink r:id="rId44" w:history="1">
        <w:r>
          <w:rPr>
            <w:rStyle w:val="Hyperlink"/>
            <w:rFonts w:eastAsia="Aptos" w:cstheme="minorHAnsi"/>
            <w:sz w:val="20"/>
          </w:rPr>
          <w:t>stan@fluxus.bio</w:t>
        </w:r>
      </w:hyperlink>
    </w:p>
    <w:p w14:paraId="2578BE4A" w14:textId="77777777" w:rsidR="00286D1B" w:rsidRDefault="00286D1B">
      <w:pPr>
        <w:rPr>
          <w:rFonts w:cstheme="minorHAnsi"/>
          <w:sz w:val="20"/>
          <w:szCs w:val="20"/>
        </w:rPr>
      </w:pPr>
    </w:p>
    <w:p w14:paraId="2428D348" w14:textId="77777777" w:rsidR="00286D1B" w:rsidRDefault="004B1BBD">
      <w:pPr>
        <w:rPr>
          <w:rFonts w:cstheme="minorHAnsi"/>
          <w:sz w:val="20"/>
          <w:szCs w:val="20"/>
        </w:rPr>
      </w:pPr>
      <w:r>
        <w:rPr>
          <w:rFonts w:cstheme="minorHAnsi"/>
          <w:sz w:val="20"/>
          <w:szCs w:val="20"/>
        </w:rPr>
        <w:t>Steven Tan</w:t>
      </w:r>
      <w:r>
        <w:rPr>
          <w:rFonts w:cs="Calibri (Body)"/>
          <w:sz w:val="18"/>
          <w:szCs w:val="18"/>
          <w:vertAlign w:val="superscript"/>
        </w:rPr>
        <w:t>1</w:t>
      </w:r>
      <w:r>
        <w:rPr>
          <w:rFonts w:cstheme="minorHAnsi"/>
          <w:sz w:val="20"/>
          <w:szCs w:val="20"/>
        </w:rPr>
        <w:t>; Cathy Le</w:t>
      </w:r>
      <w:r>
        <w:rPr>
          <w:rFonts w:cs="Calibri (Body)"/>
          <w:sz w:val="18"/>
          <w:szCs w:val="18"/>
          <w:vertAlign w:val="superscript"/>
        </w:rPr>
        <w:t>1</w:t>
      </w:r>
      <w:r>
        <w:rPr>
          <w:rFonts w:cstheme="minorHAnsi"/>
          <w:sz w:val="20"/>
          <w:szCs w:val="20"/>
        </w:rPr>
        <w:t>; Niamh Nolan</w:t>
      </w:r>
      <w:r>
        <w:rPr>
          <w:rFonts w:cs="Calibri (Body)"/>
          <w:sz w:val="18"/>
          <w:szCs w:val="18"/>
          <w:vertAlign w:val="superscript"/>
        </w:rPr>
        <w:t>1</w:t>
      </w:r>
      <w:r>
        <w:rPr>
          <w:rFonts w:cstheme="minorHAnsi"/>
          <w:sz w:val="20"/>
          <w:szCs w:val="20"/>
        </w:rPr>
        <w:t>; Tobias Broger</w:t>
      </w:r>
      <w:r>
        <w:rPr>
          <w:rFonts w:cs="Calibri (Body)"/>
          <w:sz w:val="18"/>
          <w:szCs w:val="18"/>
          <w:vertAlign w:val="superscript"/>
        </w:rPr>
        <w:t>2</w:t>
      </w:r>
      <w:r>
        <w:rPr>
          <w:rFonts w:cstheme="minorHAnsi"/>
          <w:sz w:val="20"/>
          <w:szCs w:val="20"/>
        </w:rPr>
        <w:t>; Seda Yerlikaya</w:t>
      </w:r>
      <w:r>
        <w:rPr>
          <w:rFonts w:cs="Calibri (Body)"/>
          <w:sz w:val="18"/>
          <w:szCs w:val="18"/>
          <w:vertAlign w:val="superscript"/>
        </w:rPr>
        <w:t>2,3</w:t>
      </w:r>
      <w:r>
        <w:rPr>
          <w:rFonts w:cstheme="minorHAnsi"/>
          <w:sz w:val="20"/>
          <w:szCs w:val="20"/>
        </w:rPr>
        <w:t>; Claudia M. Denkinger</w:t>
      </w:r>
      <w:r>
        <w:rPr>
          <w:rFonts w:cs="Calibri (Body)"/>
          <w:sz w:val="18"/>
          <w:szCs w:val="18"/>
          <w:vertAlign w:val="superscript"/>
        </w:rPr>
        <w:t>2,3</w:t>
      </w:r>
      <w:r>
        <w:rPr>
          <w:rFonts w:cstheme="minorHAnsi"/>
          <w:sz w:val="20"/>
          <w:szCs w:val="20"/>
        </w:rPr>
        <w:t>; Frank Zaugg</w:t>
      </w:r>
      <w:r>
        <w:rPr>
          <w:rFonts w:cs="Calibri (Body)"/>
          <w:sz w:val="18"/>
          <w:szCs w:val="18"/>
          <w:vertAlign w:val="superscript"/>
        </w:rPr>
        <w:t>1</w:t>
      </w:r>
      <w:r>
        <w:rPr>
          <w:rFonts w:cstheme="minorHAnsi"/>
          <w:sz w:val="20"/>
          <w:szCs w:val="20"/>
        </w:rPr>
        <w:t>; Peter Wagner</w:t>
      </w:r>
      <w:r>
        <w:rPr>
          <w:rFonts w:cs="Calibri (Body)"/>
          <w:sz w:val="18"/>
          <w:szCs w:val="18"/>
          <w:vertAlign w:val="superscript"/>
        </w:rPr>
        <w:t>1</w:t>
      </w:r>
      <w:r>
        <w:rPr>
          <w:rFonts w:cstheme="minorHAnsi"/>
          <w:sz w:val="20"/>
          <w:szCs w:val="20"/>
        </w:rPr>
        <w:t>; Valerie Brachet</w:t>
      </w:r>
      <w:r>
        <w:rPr>
          <w:rFonts w:cs="Calibri (Body)"/>
          <w:sz w:val="18"/>
          <w:szCs w:val="18"/>
          <w:vertAlign w:val="superscript"/>
        </w:rPr>
        <w:t>1</w:t>
      </w:r>
      <w:r>
        <w:rPr>
          <w:rFonts w:cstheme="minorHAnsi"/>
          <w:sz w:val="20"/>
          <w:szCs w:val="20"/>
        </w:rPr>
        <w:t>; Johanna Sandlund</w:t>
      </w:r>
      <w:r>
        <w:rPr>
          <w:rFonts w:cs="Calibri (Body)"/>
          <w:sz w:val="18"/>
          <w:szCs w:val="18"/>
          <w:vertAlign w:val="superscript"/>
        </w:rPr>
        <w:t>1</w:t>
      </w:r>
    </w:p>
    <w:p w14:paraId="4D3E460D" w14:textId="77777777" w:rsidR="00286D1B" w:rsidRDefault="004B1BBD">
      <w:pPr>
        <w:spacing w:line="240" w:lineRule="auto"/>
        <w:contextualSpacing/>
        <w:rPr>
          <w:rFonts w:cstheme="minorHAnsi"/>
          <w:sz w:val="18"/>
          <w:szCs w:val="18"/>
        </w:rPr>
      </w:pPr>
      <w:r>
        <w:rPr>
          <w:rFonts w:cs="Calibri (Body)"/>
          <w:sz w:val="18"/>
          <w:szCs w:val="18"/>
          <w:vertAlign w:val="superscript"/>
        </w:rPr>
        <w:t>1</w:t>
      </w:r>
      <w:r>
        <w:rPr>
          <w:rFonts w:cstheme="minorHAnsi"/>
          <w:sz w:val="18"/>
          <w:szCs w:val="18"/>
        </w:rPr>
        <w:t xml:space="preserve"> Fluxus, Inc., Sunnyvale, CA, USA</w:t>
      </w:r>
    </w:p>
    <w:p w14:paraId="691232D8" w14:textId="77777777" w:rsidR="00286D1B" w:rsidRDefault="004B1BBD">
      <w:pPr>
        <w:spacing w:line="240" w:lineRule="auto"/>
        <w:contextualSpacing/>
        <w:rPr>
          <w:rFonts w:cstheme="minorHAnsi"/>
          <w:sz w:val="18"/>
          <w:szCs w:val="18"/>
        </w:rPr>
      </w:pPr>
      <w:r>
        <w:rPr>
          <w:rFonts w:cs="Calibri (Body)"/>
          <w:sz w:val="18"/>
          <w:szCs w:val="18"/>
          <w:vertAlign w:val="superscript"/>
        </w:rPr>
        <w:t>2</w:t>
      </w:r>
      <w:r>
        <w:rPr>
          <w:rFonts w:cstheme="minorHAnsi"/>
          <w:sz w:val="18"/>
          <w:szCs w:val="18"/>
        </w:rPr>
        <w:t xml:space="preserve"> Department of Infectious Diseases and Tropical Medicine, Heidelberg University Hospital and Faculty of Medicine, Heidelberg University, Heidelberg, Germany</w:t>
      </w:r>
    </w:p>
    <w:p w14:paraId="7A35654D" w14:textId="77777777" w:rsidR="00286D1B" w:rsidRDefault="004B1BBD">
      <w:pPr>
        <w:spacing w:line="240" w:lineRule="auto"/>
        <w:contextualSpacing/>
        <w:rPr>
          <w:rFonts w:cstheme="minorHAnsi"/>
          <w:sz w:val="18"/>
          <w:szCs w:val="18"/>
        </w:rPr>
      </w:pPr>
      <w:r>
        <w:rPr>
          <w:rFonts w:cs="Calibri (Body)"/>
          <w:sz w:val="18"/>
          <w:szCs w:val="18"/>
          <w:vertAlign w:val="superscript"/>
        </w:rPr>
        <w:t>3</w:t>
      </w:r>
      <w:r>
        <w:rPr>
          <w:rFonts w:cstheme="minorHAnsi"/>
          <w:sz w:val="18"/>
          <w:szCs w:val="18"/>
        </w:rPr>
        <w:t xml:space="preserve"> German Center for Infection Research (DZIF), Partner Site Heidelberg University Hospital, Heidelberg, Germany</w:t>
      </w:r>
    </w:p>
    <w:p w14:paraId="6D7C3D32" w14:textId="77777777" w:rsidR="00286D1B" w:rsidRDefault="00286D1B">
      <w:pPr>
        <w:rPr>
          <w:rFonts w:cstheme="minorHAnsi"/>
          <w:sz w:val="20"/>
          <w:szCs w:val="20"/>
        </w:rPr>
      </w:pPr>
    </w:p>
    <w:p w14:paraId="52449B87" w14:textId="77777777" w:rsidR="00286D1B" w:rsidRDefault="004B1BBD">
      <w:pPr>
        <w:rPr>
          <w:rFonts w:cstheme="minorHAnsi"/>
          <w:sz w:val="20"/>
          <w:szCs w:val="20"/>
        </w:rPr>
      </w:pPr>
      <w:r>
        <w:rPr>
          <w:rFonts w:cstheme="minorHAnsi"/>
          <w:b/>
          <w:bCs/>
          <w:sz w:val="20"/>
          <w:szCs w:val="20"/>
        </w:rPr>
        <w:t>Background:</w:t>
      </w:r>
      <w:r>
        <w:rPr>
          <w:rFonts w:cstheme="minorHAnsi"/>
          <w:sz w:val="20"/>
          <w:szCs w:val="20"/>
        </w:rPr>
        <w:t xml:space="preserve"> Tuberculosis (TB) diagnosis remains limited by reliance on sputum-based testing, which performs poorly in patients with paucibacillary or extrapulmonary disease and those unable to produce sputum. Urinary lipoarabinomannan (LAM) is a promising non-sputum biomarker, but current assays lack sufficient sensitivity. Single-molecule detection may enable accurate quantification of low LAM concentrations and improve diagnostic performance.</w:t>
      </w:r>
    </w:p>
    <w:p w14:paraId="2D0F6755" w14:textId="77777777" w:rsidR="00286D1B" w:rsidRDefault="004B1BBD">
      <w:pPr>
        <w:rPr>
          <w:rFonts w:cstheme="minorHAnsi"/>
          <w:sz w:val="20"/>
          <w:szCs w:val="20"/>
        </w:rPr>
      </w:pPr>
      <w:r>
        <w:rPr>
          <w:rFonts w:cstheme="minorHAnsi"/>
          <w:b/>
          <w:bCs/>
          <w:sz w:val="20"/>
          <w:szCs w:val="20"/>
        </w:rPr>
        <w:t>Materials and Methods:</w:t>
      </w:r>
      <w:r>
        <w:rPr>
          <w:rFonts w:cstheme="minorHAnsi"/>
          <w:sz w:val="20"/>
          <w:szCs w:val="20"/>
        </w:rPr>
        <w:t xml:space="preserve"> We developed an ultrasensitive urine LAM assay using Fluxus’ single-molecule counting platform, integrating microfluidics with optical waveguide detection (LoQ 1 pg/mL). Performance was compared to an electrochemiluminescence assay (MesoScale Discovery, MSD; LoQ 2 pg/mL) using urine samples from adults with suspected TB (R2D2 Network, n=250). TB status was defined using a microbiologic reference standard (MRS). Interim analysis was conducted on 44 participants.</w:t>
      </w:r>
    </w:p>
    <w:p w14:paraId="42FBE0D3" w14:textId="77777777" w:rsidR="00967449" w:rsidRDefault="004B1BBD">
      <w:pPr>
        <w:rPr>
          <w:rFonts w:cstheme="minorHAnsi"/>
          <w:sz w:val="20"/>
          <w:szCs w:val="20"/>
        </w:rPr>
      </w:pPr>
      <w:r>
        <w:rPr>
          <w:rFonts w:cstheme="minorHAnsi"/>
          <w:b/>
          <w:bCs/>
          <w:sz w:val="20"/>
          <w:szCs w:val="20"/>
        </w:rPr>
        <w:t>Results:</w:t>
      </w:r>
      <w:r>
        <w:rPr>
          <w:rFonts w:cstheme="minorHAnsi"/>
          <w:sz w:val="20"/>
          <w:szCs w:val="20"/>
        </w:rPr>
        <w:t xml:space="preserve"> Among 44 participants, 63.6% had microbiologically confirmed TB and 47.8% were people living with HIV. Median LAM concentrations were significantly higher in TB-positive versus TB-negative samples (3.8 vs. 0.5 pg/mL; p&lt;0.001). The Fluxus assay achieved an AUC of 0.929 compared to 0.786 for the MSD assay. At an optimized cutoff (1.56 pg/mL), sensitivity and specificity were 82.1% and 100%, respectively, versus 57.1% and 100% for MSD. Sensitivity was 85.7% in people living with HIV and 78.6% in HIV-negative individuals. </w:t>
      </w:r>
    </w:p>
    <w:p w14:paraId="53ECDA4A" w14:textId="77777777" w:rsidR="00286D1B" w:rsidRDefault="004B1BBD">
      <w:pPr>
        <w:rPr>
          <w:rFonts w:cstheme="minorHAnsi"/>
          <w:sz w:val="20"/>
          <w:szCs w:val="20"/>
        </w:rPr>
      </w:pPr>
      <w:r>
        <w:rPr>
          <w:rFonts w:cstheme="minorHAnsi"/>
          <w:b/>
          <w:bCs/>
          <w:sz w:val="20"/>
          <w:szCs w:val="20"/>
        </w:rPr>
        <w:t>Conclusions:</w:t>
      </w:r>
      <w:r>
        <w:rPr>
          <w:rFonts w:cstheme="minorHAnsi"/>
          <w:sz w:val="20"/>
          <w:szCs w:val="20"/>
        </w:rPr>
        <w:t xml:space="preserve"> Ultrasensitive urine LAM detection using single-molecule counting demonstrated high sensitivity and specificity, outperforming a comparator assay. This approach offers a promising non-sputum diagnostic solution for TB, with potential to improve detection across diverse patient populations.</w:t>
      </w:r>
    </w:p>
    <w:p w14:paraId="407F2857" w14:textId="77777777" w:rsidR="00691E24" w:rsidRDefault="00691E24">
      <w:pPr>
        <w:rPr>
          <w:rFonts w:eastAsia="Times New Roman"/>
          <w:color w:val="000000" w:themeColor="text1"/>
          <w:sz w:val="24"/>
          <w:szCs w:val="24"/>
        </w:rPr>
      </w:pPr>
      <w:r>
        <w:rPr>
          <w:rFonts w:eastAsia="Times New Roman"/>
        </w:rPr>
        <w:br w:type="page"/>
      </w:r>
    </w:p>
    <w:p w14:paraId="693B7B2D" w14:textId="77777777" w:rsidR="00286D1B" w:rsidRDefault="004B1BBD">
      <w:pPr>
        <w:pStyle w:val="Heading2"/>
        <w:rPr>
          <w:rFonts w:asciiTheme="minorHAnsi" w:eastAsia="Times New Roman" w:hAnsiTheme="minorHAnsi" w:cstheme="minorBidi"/>
        </w:rPr>
      </w:pPr>
      <w:bookmarkStart w:id="39" w:name="_Toc238729467"/>
      <w:r>
        <w:rPr>
          <w:rFonts w:asciiTheme="minorHAnsi" w:eastAsia="Times New Roman" w:hAnsiTheme="minorHAnsi" w:cstheme="minorBidi"/>
        </w:rPr>
        <w:lastRenderedPageBreak/>
        <w:t>PP-26: Anjelica Vance, UCSF</w:t>
      </w:r>
      <w:bookmarkEnd w:id="39"/>
    </w:p>
    <w:p w14:paraId="29F16AEE" w14:textId="77777777" w:rsidR="00286D1B" w:rsidRDefault="00286D1B">
      <w:pPr>
        <w:rPr>
          <w:rFonts w:cstheme="minorHAnsi"/>
          <w:sz w:val="20"/>
          <w:szCs w:val="20"/>
        </w:rPr>
      </w:pPr>
    </w:p>
    <w:p w14:paraId="2D9FF06C" w14:textId="77777777" w:rsidR="00286D1B" w:rsidRDefault="004B1BBD">
      <w:pPr>
        <w:rPr>
          <w:rFonts w:cstheme="minorHAnsi"/>
          <w:sz w:val="24"/>
          <w:szCs w:val="24"/>
        </w:rPr>
      </w:pPr>
      <w:r>
        <w:rPr>
          <w:rFonts w:cstheme="minorHAnsi"/>
          <w:b/>
          <w:bCs/>
          <w:sz w:val="24"/>
          <w:szCs w:val="24"/>
        </w:rPr>
        <w:t>Reduced diffusing capacity following tuberculosis treatment in Ugandan adults with and without HIV</w:t>
      </w:r>
    </w:p>
    <w:p w14:paraId="6BD72F68" w14:textId="77777777" w:rsidR="00286D1B" w:rsidRDefault="004B1BBD">
      <w:pPr>
        <w:rPr>
          <w:rFonts w:cstheme="minorHAnsi"/>
          <w:sz w:val="20"/>
          <w:szCs w:val="20"/>
        </w:rPr>
      </w:pPr>
      <w:r>
        <w:rPr>
          <w:rFonts w:cstheme="minorHAnsi"/>
          <w:sz w:val="20"/>
          <w:szCs w:val="20"/>
        </w:rPr>
        <w:t>Anjelica Vance, UCSF</w:t>
      </w:r>
    </w:p>
    <w:p w14:paraId="39429042" w14:textId="77777777" w:rsidR="00286D1B" w:rsidRDefault="004B1BBD">
      <w:pPr>
        <w:rPr>
          <w:rFonts w:eastAsia="Aptos" w:cstheme="minorHAnsi"/>
          <w:sz w:val="20"/>
        </w:rPr>
      </w:pPr>
      <w:r>
        <w:rPr>
          <w:rFonts w:eastAsia="Aptos" w:cstheme="minorHAnsi"/>
          <w:sz w:val="20"/>
        </w:rPr>
        <w:t xml:space="preserve">Email: </w:t>
      </w:r>
      <w:hyperlink r:id="rId45" w:history="1">
        <w:r>
          <w:rPr>
            <w:rStyle w:val="Hyperlink"/>
            <w:rFonts w:eastAsia="Aptos" w:cstheme="minorHAnsi"/>
            <w:sz w:val="20"/>
          </w:rPr>
          <w:t>anjelica.vance@ucsf.edu</w:t>
        </w:r>
      </w:hyperlink>
    </w:p>
    <w:p w14:paraId="49A507F9" w14:textId="77777777" w:rsidR="00286D1B" w:rsidRDefault="00286D1B">
      <w:pPr>
        <w:rPr>
          <w:rFonts w:cstheme="minorHAnsi"/>
          <w:sz w:val="20"/>
          <w:szCs w:val="20"/>
        </w:rPr>
      </w:pPr>
    </w:p>
    <w:p w14:paraId="5B2FA6AF" w14:textId="77777777" w:rsidR="00286D1B" w:rsidRDefault="004B1BBD">
      <w:pPr>
        <w:rPr>
          <w:rFonts w:cstheme="minorHAnsi"/>
          <w:sz w:val="20"/>
          <w:szCs w:val="20"/>
        </w:rPr>
      </w:pPr>
      <w:r>
        <w:rPr>
          <w:rFonts w:cstheme="minorHAnsi"/>
          <w:sz w:val="20"/>
          <w:szCs w:val="20"/>
        </w:rPr>
        <w:t>Vance, Anjelica</w:t>
      </w:r>
      <w:r>
        <w:rPr>
          <w:rFonts w:cs="Calibri (Body)"/>
          <w:sz w:val="18"/>
          <w:szCs w:val="18"/>
          <w:vertAlign w:val="superscript"/>
        </w:rPr>
        <w:t>1</w:t>
      </w:r>
      <w:r>
        <w:rPr>
          <w:rFonts w:cstheme="minorHAnsi"/>
          <w:sz w:val="20"/>
          <w:szCs w:val="20"/>
        </w:rPr>
        <w:t>; Avilés-Guamán, César</w:t>
      </w:r>
      <w:r>
        <w:rPr>
          <w:rFonts w:cs="Calibri (Body)"/>
          <w:sz w:val="18"/>
          <w:szCs w:val="18"/>
          <w:vertAlign w:val="superscript"/>
        </w:rPr>
        <w:t>1</w:t>
      </w:r>
      <w:r>
        <w:rPr>
          <w:rFonts w:cstheme="minorHAnsi"/>
          <w:sz w:val="20"/>
          <w:szCs w:val="20"/>
        </w:rPr>
        <w:t>; Zawedde Josephine</w:t>
      </w:r>
      <w:r>
        <w:rPr>
          <w:rFonts w:cs="Calibri (Body)"/>
          <w:sz w:val="18"/>
          <w:szCs w:val="18"/>
          <w:vertAlign w:val="superscript"/>
        </w:rPr>
        <w:t>2</w:t>
      </w:r>
      <w:r>
        <w:rPr>
          <w:rFonts w:cstheme="minorHAnsi"/>
          <w:sz w:val="20"/>
          <w:szCs w:val="20"/>
        </w:rPr>
        <w:t>; Sanyu, Ingvar</w:t>
      </w:r>
      <w:r>
        <w:rPr>
          <w:rFonts w:cs="Calibri (Body)"/>
          <w:sz w:val="18"/>
          <w:szCs w:val="18"/>
          <w:vertAlign w:val="superscript"/>
        </w:rPr>
        <w:t>2</w:t>
      </w:r>
      <w:r>
        <w:rPr>
          <w:rFonts w:cstheme="minorHAnsi"/>
          <w:sz w:val="20"/>
          <w:szCs w:val="20"/>
        </w:rPr>
        <w:t>; Kaswabuli Sylvia</w:t>
      </w:r>
      <w:r>
        <w:rPr>
          <w:rFonts w:cs="Calibri (Body)"/>
          <w:sz w:val="18"/>
          <w:szCs w:val="18"/>
          <w:vertAlign w:val="superscript"/>
        </w:rPr>
        <w:t>2</w:t>
      </w:r>
      <w:r>
        <w:rPr>
          <w:rFonts w:cstheme="minorHAnsi"/>
          <w:sz w:val="20"/>
          <w:szCs w:val="20"/>
        </w:rPr>
        <w:t>; Byanyima Patrick</w:t>
      </w:r>
      <w:r>
        <w:rPr>
          <w:rFonts w:cs="Calibri (Body)"/>
          <w:sz w:val="18"/>
          <w:szCs w:val="18"/>
          <w:vertAlign w:val="superscript"/>
        </w:rPr>
        <w:t>2</w:t>
      </w:r>
      <w:r>
        <w:rPr>
          <w:rFonts w:cstheme="minorHAnsi"/>
          <w:sz w:val="20"/>
          <w:szCs w:val="20"/>
        </w:rPr>
        <w:t>; Sessolo, Abdulwahab</w:t>
      </w:r>
      <w:r>
        <w:rPr>
          <w:rFonts w:cs="Calibri (Body)"/>
          <w:sz w:val="18"/>
          <w:szCs w:val="18"/>
          <w:vertAlign w:val="superscript"/>
        </w:rPr>
        <w:t>2</w:t>
      </w:r>
      <w:r>
        <w:rPr>
          <w:rFonts w:cstheme="minorHAnsi"/>
          <w:sz w:val="20"/>
          <w:szCs w:val="20"/>
        </w:rPr>
        <w:t>; Byanova, Katerina</w:t>
      </w:r>
      <w:r>
        <w:rPr>
          <w:rFonts w:cs="Calibri (Body)"/>
          <w:sz w:val="18"/>
          <w:szCs w:val="18"/>
          <w:vertAlign w:val="superscript"/>
        </w:rPr>
        <w:t>3</w:t>
      </w:r>
      <w:r>
        <w:rPr>
          <w:rFonts w:cstheme="minorHAnsi"/>
          <w:sz w:val="20"/>
          <w:szCs w:val="20"/>
        </w:rPr>
        <w:t>; Abelman, Rebecca</w:t>
      </w:r>
      <w:r>
        <w:rPr>
          <w:rFonts w:cs="Calibri (Body)"/>
          <w:sz w:val="18"/>
          <w:szCs w:val="18"/>
          <w:vertAlign w:val="superscript"/>
        </w:rPr>
        <w:t>1</w:t>
      </w:r>
      <w:r>
        <w:rPr>
          <w:rFonts w:cstheme="minorHAnsi"/>
          <w:sz w:val="20"/>
          <w:szCs w:val="20"/>
        </w:rPr>
        <w:t>; Worodria, William</w:t>
      </w:r>
      <w:r>
        <w:rPr>
          <w:rFonts w:cs="Calibri (Body)"/>
          <w:sz w:val="18"/>
          <w:szCs w:val="18"/>
          <w:vertAlign w:val="superscript"/>
        </w:rPr>
        <w:t>4,5</w:t>
      </w:r>
      <w:r>
        <w:rPr>
          <w:rFonts w:cstheme="minorHAnsi"/>
          <w:sz w:val="20"/>
          <w:szCs w:val="20"/>
        </w:rPr>
        <w:t>; Huang, Laurence</w:t>
      </w:r>
      <w:r>
        <w:rPr>
          <w:rFonts w:cs="Calibri (Body)"/>
          <w:sz w:val="18"/>
          <w:szCs w:val="18"/>
          <w:vertAlign w:val="superscript"/>
        </w:rPr>
        <w:t>1,6</w:t>
      </w:r>
    </w:p>
    <w:p w14:paraId="4E1A6F80" w14:textId="77777777" w:rsidR="00286D1B" w:rsidRDefault="004B1BBD">
      <w:pPr>
        <w:spacing w:line="240" w:lineRule="auto"/>
        <w:contextualSpacing/>
        <w:rPr>
          <w:rFonts w:cstheme="minorHAnsi"/>
          <w:sz w:val="18"/>
          <w:szCs w:val="18"/>
        </w:rPr>
      </w:pPr>
      <w:r>
        <w:rPr>
          <w:rFonts w:cs="Calibri (Body)"/>
          <w:sz w:val="18"/>
          <w:szCs w:val="18"/>
          <w:vertAlign w:val="superscript"/>
        </w:rPr>
        <w:t>1</w:t>
      </w:r>
      <w:r>
        <w:rPr>
          <w:rFonts w:cstheme="minorHAnsi"/>
          <w:sz w:val="18"/>
          <w:szCs w:val="18"/>
        </w:rPr>
        <w:t xml:space="preserve"> Division of HIV, Infectious Diseases, and Global Medicine, University of California San Francisco, San Francisco, CA.</w:t>
      </w:r>
    </w:p>
    <w:p w14:paraId="673458DD" w14:textId="77777777" w:rsidR="00286D1B" w:rsidRDefault="004B1BBD">
      <w:pPr>
        <w:spacing w:line="240" w:lineRule="auto"/>
        <w:contextualSpacing/>
        <w:rPr>
          <w:rFonts w:cstheme="minorHAnsi"/>
          <w:sz w:val="18"/>
          <w:szCs w:val="18"/>
        </w:rPr>
      </w:pPr>
      <w:r>
        <w:rPr>
          <w:rFonts w:cs="Calibri (Body)"/>
          <w:sz w:val="18"/>
          <w:szCs w:val="18"/>
          <w:vertAlign w:val="superscript"/>
        </w:rPr>
        <w:t>2</w:t>
      </w:r>
      <w:r>
        <w:rPr>
          <w:rFonts w:cstheme="minorHAnsi"/>
          <w:sz w:val="18"/>
          <w:szCs w:val="18"/>
        </w:rPr>
        <w:t xml:space="preserve"> Infectious Diseases Research Collaboration, Kampala, Uganda.</w:t>
      </w:r>
    </w:p>
    <w:p w14:paraId="5E420E8B" w14:textId="77777777" w:rsidR="00286D1B" w:rsidRDefault="004B1BBD">
      <w:pPr>
        <w:spacing w:line="240" w:lineRule="auto"/>
        <w:contextualSpacing/>
        <w:rPr>
          <w:rFonts w:cstheme="minorHAnsi"/>
          <w:sz w:val="18"/>
          <w:szCs w:val="18"/>
        </w:rPr>
      </w:pPr>
      <w:r>
        <w:rPr>
          <w:rFonts w:cs="Calibri (Body)"/>
          <w:sz w:val="18"/>
          <w:szCs w:val="18"/>
          <w:vertAlign w:val="superscript"/>
        </w:rPr>
        <w:t xml:space="preserve">3 </w:t>
      </w:r>
      <w:r>
        <w:rPr>
          <w:rFonts w:cstheme="minorHAnsi"/>
          <w:sz w:val="18"/>
          <w:szCs w:val="18"/>
        </w:rPr>
        <w:t>Department of Critical Care Medicine, Swedish Medical Center, Seattle, WA.</w:t>
      </w:r>
    </w:p>
    <w:p w14:paraId="2734D8CB" w14:textId="77777777" w:rsidR="00286D1B" w:rsidRDefault="004B1BBD">
      <w:pPr>
        <w:spacing w:line="240" w:lineRule="auto"/>
        <w:contextualSpacing/>
        <w:rPr>
          <w:rFonts w:cstheme="minorHAnsi"/>
          <w:sz w:val="18"/>
          <w:szCs w:val="18"/>
        </w:rPr>
      </w:pPr>
      <w:r>
        <w:rPr>
          <w:rFonts w:cs="Calibri (Body)"/>
          <w:sz w:val="18"/>
          <w:szCs w:val="18"/>
          <w:vertAlign w:val="superscript"/>
        </w:rPr>
        <w:t>4</w:t>
      </w:r>
      <w:r>
        <w:rPr>
          <w:rFonts w:cstheme="minorHAnsi"/>
          <w:sz w:val="18"/>
          <w:szCs w:val="18"/>
        </w:rPr>
        <w:t xml:space="preserve"> Department of Medicine, Makerere University College of Health Sciences, Kampala, Uganda.</w:t>
      </w:r>
    </w:p>
    <w:p w14:paraId="316DA59C" w14:textId="77777777" w:rsidR="00286D1B" w:rsidRDefault="004B1BBD">
      <w:pPr>
        <w:spacing w:line="240" w:lineRule="auto"/>
        <w:contextualSpacing/>
        <w:rPr>
          <w:rFonts w:cstheme="minorHAnsi"/>
          <w:sz w:val="18"/>
          <w:szCs w:val="18"/>
        </w:rPr>
      </w:pPr>
      <w:r>
        <w:rPr>
          <w:rFonts w:cs="Calibri (Body)"/>
          <w:sz w:val="18"/>
          <w:szCs w:val="18"/>
          <w:vertAlign w:val="superscript"/>
        </w:rPr>
        <w:t>5</w:t>
      </w:r>
      <w:r>
        <w:rPr>
          <w:rFonts w:cstheme="minorHAnsi"/>
          <w:sz w:val="18"/>
          <w:szCs w:val="18"/>
        </w:rPr>
        <w:t xml:space="preserve"> Division of Pulmonary Medicine, Mulago Hospital and Complex, Kampala, </w:t>
      </w:r>
      <w:proofErr w:type="gramStart"/>
      <w:r>
        <w:rPr>
          <w:rFonts w:cstheme="minorHAnsi"/>
          <w:sz w:val="18"/>
          <w:szCs w:val="18"/>
        </w:rPr>
        <w:t>Uganda ;</w:t>
      </w:r>
      <w:proofErr w:type="gramEnd"/>
      <w:r>
        <w:rPr>
          <w:rFonts w:cstheme="minorHAnsi"/>
          <w:sz w:val="18"/>
          <w:szCs w:val="18"/>
        </w:rPr>
        <w:t xml:space="preserve"> and.</w:t>
      </w:r>
    </w:p>
    <w:p w14:paraId="56771E8C" w14:textId="77777777" w:rsidR="00286D1B" w:rsidRDefault="004B1BBD">
      <w:pPr>
        <w:spacing w:line="240" w:lineRule="auto"/>
        <w:contextualSpacing/>
        <w:rPr>
          <w:rFonts w:cstheme="minorHAnsi"/>
          <w:sz w:val="18"/>
          <w:szCs w:val="18"/>
        </w:rPr>
      </w:pPr>
      <w:r>
        <w:rPr>
          <w:rFonts w:cs="Calibri (Body)"/>
          <w:sz w:val="18"/>
          <w:szCs w:val="18"/>
          <w:vertAlign w:val="superscript"/>
        </w:rPr>
        <w:t>6</w:t>
      </w:r>
      <w:r>
        <w:rPr>
          <w:rFonts w:cstheme="minorHAnsi"/>
          <w:sz w:val="18"/>
          <w:szCs w:val="18"/>
        </w:rPr>
        <w:t xml:space="preserve"> Division of Pulmonary, Critical Care, Allergy, and Sleep Medicine, University of California San Francisco, San Francisco, CA.</w:t>
      </w:r>
    </w:p>
    <w:p w14:paraId="32DBC8A3" w14:textId="77777777" w:rsidR="00286D1B" w:rsidRDefault="00286D1B">
      <w:pPr>
        <w:rPr>
          <w:rFonts w:cstheme="minorHAnsi"/>
          <w:sz w:val="20"/>
          <w:szCs w:val="20"/>
        </w:rPr>
      </w:pPr>
    </w:p>
    <w:p w14:paraId="34ACDEA5" w14:textId="77777777" w:rsidR="00286D1B" w:rsidRDefault="004B1BBD">
      <w:pPr>
        <w:rPr>
          <w:rFonts w:cstheme="minorHAnsi"/>
          <w:sz w:val="20"/>
          <w:szCs w:val="20"/>
        </w:rPr>
      </w:pPr>
      <w:r>
        <w:rPr>
          <w:rFonts w:cstheme="minorHAnsi"/>
          <w:sz w:val="20"/>
          <w:szCs w:val="20"/>
        </w:rPr>
        <w:t>Reduced diffusing capacity of the lung for carbon monoxide (DLco) is common among people with HIV (PWH) and is associated with greater respiratory symptom burden and mortality. Pulmonary tuberculosis (TB) can also cause persistent DLco impairment after microbiologic cure, contributing to post-tuberculosis lung disease (PTLD). We sought to evaluate whether HIV independently increases the risk of abnormal DLco after successful TB treatment and whether DLco trajectories differ over time.</w:t>
      </w:r>
    </w:p>
    <w:p w14:paraId="66E63A14" w14:textId="77777777" w:rsidR="00286D1B" w:rsidRDefault="004B1BBD">
      <w:pPr>
        <w:rPr>
          <w:rFonts w:cstheme="minorHAnsi"/>
          <w:sz w:val="20"/>
          <w:szCs w:val="20"/>
        </w:rPr>
      </w:pPr>
      <w:r>
        <w:rPr>
          <w:rFonts w:cstheme="minorHAnsi"/>
          <w:sz w:val="20"/>
          <w:szCs w:val="20"/>
        </w:rPr>
        <w:t>We conducted a longitudinal cohort analysis of Ugandan adults aged ≥18 years enrolled in the I AM OLD-DA study following treatment for acute pulmonary TB. Among 499 participants assessed at treatment completion, 35.1% of those with known HIV status were PWH and 27.9% of those with evaluable pulmonary function testing had hemoglobin-corrected DLco below the Global Lung Initiative lower limit of normal (DLco&lt;LLN). Among participants with evaluable baseline DLco, abnormal diffusion capacity was observed in approximately one-third of both PWH (32.1%) and participants without HIV (29.6%). At the first annual follow-up, the overall prevalence of abnormal DLco appeared lower in both groups, suggesting improvement in diffusion impairment over time, although longitudinal analyses are ongoing.</w:t>
      </w:r>
    </w:p>
    <w:p w14:paraId="294EFED0" w14:textId="77777777" w:rsidR="00286D1B" w:rsidRDefault="004B1BBD">
      <w:pPr>
        <w:rPr>
          <w:rFonts w:cstheme="minorHAnsi"/>
          <w:sz w:val="20"/>
          <w:szCs w:val="20"/>
        </w:rPr>
      </w:pPr>
      <w:r>
        <w:rPr>
          <w:rFonts w:cstheme="minorHAnsi"/>
          <w:sz w:val="20"/>
          <w:szCs w:val="20"/>
        </w:rPr>
        <w:t>Participants underwent ATS/ERS-compliant pulmonary function testing at treatment completion, three months later, and annually thereafter. The primary exposure is HIV serostatus, and the primary outcome is hemoglobin-corrected DLco&lt;LLN. Multivariable logistic regression will estimate the association between HIV and abnormal DLco while adjusting for smoking history, previous bouts of TB, prior bacterial pneumonia, occupational fumes exposure, household biomass exposure, and body mass index. Secondary mixed-effects logistic regression will evaluate repeated measures of abnormal DLco across follow-up visits, including HIV status, time from TB treatment completion, prespecified covariates, and, where supported by the available data, an HIV-by-time interaction to assess whether recovery trajectories differ by HIV status.</w:t>
      </w:r>
    </w:p>
    <w:p w14:paraId="56923A77" w14:textId="77777777" w:rsidR="00691E24" w:rsidRDefault="00691E24">
      <w:pPr>
        <w:rPr>
          <w:rFonts w:eastAsia="Times New Roman"/>
          <w:color w:val="000000" w:themeColor="text1"/>
          <w:sz w:val="24"/>
          <w:szCs w:val="24"/>
        </w:rPr>
      </w:pPr>
      <w:r>
        <w:rPr>
          <w:rFonts w:eastAsia="Times New Roman"/>
        </w:rPr>
        <w:br w:type="page"/>
      </w:r>
    </w:p>
    <w:p w14:paraId="42D9DD51" w14:textId="77777777" w:rsidR="00286D1B" w:rsidRDefault="004B1BBD">
      <w:pPr>
        <w:pStyle w:val="Heading2"/>
        <w:rPr>
          <w:rFonts w:asciiTheme="minorHAnsi" w:eastAsia="Times New Roman" w:hAnsiTheme="minorHAnsi" w:cstheme="minorBidi"/>
        </w:rPr>
      </w:pPr>
      <w:bookmarkStart w:id="40" w:name="_Toc238729468"/>
      <w:r>
        <w:rPr>
          <w:rFonts w:asciiTheme="minorHAnsi" w:eastAsia="Times New Roman" w:hAnsiTheme="minorHAnsi" w:cstheme="minorBidi"/>
        </w:rPr>
        <w:lastRenderedPageBreak/>
        <w:t>PP-27: Erika Viana-Cardenas, Stanford University</w:t>
      </w:r>
      <w:bookmarkEnd w:id="40"/>
    </w:p>
    <w:p w14:paraId="3B0C5075" w14:textId="77777777" w:rsidR="00286D1B" w:rsidRDefault="00286D1B">
      <w:pPr>
        <w:rPr>
          <w:rFonts w:cstheme="minorHAnsi"/>
          <w:sz w:val="20"/>
          <w:szCs w:val="20"/>
        </w:rPr>
      </w:pPr>
    </w:p>
    <w:p w14:paraId="62775EC9" w14:textId="77777777" w:rsidR="00286D1B" w:rsidRDefault="004B1BBD">
      <w:pPr>
        <w:rPr>
          <w:rFonts w:cstheme="minorHAnsi"/>
          <w:sz w:val="24"/>
          <w:szCs w:val="24"/>
        </w:rPr>
      </w:pPr>
      <w:r>
        <w:rPr>
          <w:rFonts w:cstheme="minorHAnsi"/>
          <w:b/>
          <w:bCs/>
          <w:sz w:val="24"/>
          <w:szCs w:val="24"/>
        </w:rPr>
        <w:t>Feasibility of Mycobacterium tuberculosis detection in Hospital Wastewater from Perú, 2025</w:t>
      </w:r>
    </w:p>
    <w:p w14:paraId="187C2D66" w14:textId="77777777" w:rsidR="00286D1B" w:rsidRDefault="004B1BBD">
      <w:pPr>
        <w:rPr>
          <w:rFonts w:cstheme="minorHAnsi"/>
          <w:sz w:val="20"/>
          <w:szCs w:val="20"/>
        </w:rPr>
      </w:pPr>
      <w:r>
        <w:rPr>
          <w:rFonts w:cstheme="minorHAnsi"/>
          <w:sz w:val="20"/>
          <w:szCs w:val="20"/>
        </w:rPr>
        <w:t>Erika Viana-Cardenas, Stanford University</w:t>
      </w:r>
    </w:p>
    <w:p w14:paraId="6EE65681" w14:textId="77777777" w:rsidR="00286D1B" w:rsidRDefault="004B1BBD">
      <w:pPr>
        <w:rPr>
          <w:rFonts w:eastAsia="Aptos" w:cstheme="minorHAnsi"/>
          <w:sz w:val="20"/>
        </w:rPr>
      </w:pPr>
      <w:r>
        <w:rPr>
          <w:rFonts w:eastAsia="Aptos" w:cstheme="minorHAnsi"/>
          <w:sz w:val="20"/>
        </w:rPr>
        <w:t xml:space="preserve">Email: </w:t>
      </w:r>
      <w:hyperlink r:id="rId46" w:history="1">
        <w:r>
          <w:rPr>
            <w:rStyle w:val="Hyperlink"/>
            <w:rFonts w:eastAsia="Aptos" w:cstheme="minorHAnsi"/>
            <w:sz w:val="20"/>
          </w:rPr>
          <w:t>epviana@stanford.edu</w:t>
        </w:r>
      </w:hyperlink>
    </w:p>
    <w:p w14:paraId="15917266" w14:textId="77777777" w:rsidR="00286D1B" w:rsidRDefault="00286D1B">
      <w:pPr>
        <w:rPr>
          <w:rFonts w:cstheme="minorHAnsi"/>
          <w:sz w:val="20"/>
          <w:szCs w:val="20"/>
        </w:rPr>
      </w:pPr>
    </w:p>
    <w:p w14:paraId="07DE7D50" w14:textId="77777777" w:rsidR="00286D1B" w:rsidRDefault="004B1BBD">
      <w:pPr>
        <w:rPr>
          <w:rFonts w:cstheme="minorHAnsi"/>
          <w:sz w:val="20"/>
          <w:szCs w:val="20"/>
        </w:rPr>
      </w:pPr>
      <w:r>
        <w:rPr>
          <w:rFonts w:cstheme="minorHAnsi"/>
          <w:sz w:val="20"/>
          <w:szCs w:val="20"/>
        </w:rPr>
        <w:t>Erika Viana Cardenas</w:t>
      </w:r>
      <w:r>
        <w:rPr>
          <w:rFonts w:cs="Calibri (Body)"/>
          <w:sz w:val="18"/>
          <w:szCs w:val="18"/>
          <w:vertAlign w:val="superscript"/>
        </w:rPr>
        <w:t>1</w:t>
      </w:r>
      <w:r>
        <w:rPr>
          <w:rFonts w:cstheme="minorHAnsi"/>
          <w:sz w:val="20"/>
          <w:szCs w:val="20"/>
        </w:rPr>
        <w:t>; Linette Kingston</w:t>
      </w:r>
      <w:r>
        <w:rPr>
          <w:rFonts w:cs="Calibri (Body)"/>
          <w:sz w:val="18"/>
          <w:szCs w:val="18"/>
          <w:vertAlign w:val="superscript"/>
        </w:rPr>
        <w:t>2</w:t>
      </w:r>
      <w:r>
        <w:rPr>
          <w:rFonts w:cstheme="minorHAnsi"/>
          <w:sz w:val="20"/>
          <w:szCs w:val="20"/>
        </w:rPr>
        <w:t>; Wajeeha Tariq</w:t>
      </w:r>
      <w:r>
        <w:rPr>
          <w:rFonts w:cs="Calibri (Body)"/>
          <w:sz w:val="18"/>
          <w:szCs w:val="18"/>
          <w:vertAlign w:val="superscript"/>
        </w:rPr>
        <w:t>1</w:t>
      </w:r>
      <w:r>
        <w:rPr>
          <w:rFonts w:cstheme="minorHAnsi"/>
          <w:sz w:val="20"/>
          <w:szCs w:val="20"/>
        </w:rPr>
        <w:t>; Xosse Carreras</w:t>
      </w:r>
      <w:r>
        <w:rPr>
          <w:rFonts w:cs="Calibri (Body)"/>
          <w:sz w:val="18"/>
          <w:szCs w:val="18"/>
          <w:vertAlign w:val="superscript"/>
        </w:rPr>
        <w:t>3,4</w:t>
      </w:r>
      <w:r>
        <w:rPr>
          <w:rFonts w:cstheme="minorHAnsi"/>
          <w:sz w:val="20"/>
          <w:szCs w:val="20"/>
        </w:rPr>
        <w:t>; Andrea Salcedo</w:t>
      </w:r>
      <w:r>
        <w:rPr>
          <w:rFonts w:cs="Calibri (Body)"/>
          <w:sz w:val="18"/>
          <w:szCs w:val="18"/>
          <w:vertAlign w:val="superscript"/>
        </w:rPr>
        <w:t>3</w:t>
      </w:r>
      <w:r>
        <w:rPr>
          <w:rFonts w:cstheme="minorHAnsi"/>
          <w:sz w:val="20"/>
          <w:szCs w:val="20"/>
        </w:rPr>
        <w:t>; Sheena Conforti</w:t>
      </w:r>
      <w:r>
        <w:rPr>
          <w:rFonts w:cs="Calibri (Body)"/>
          <w:sz w:val="18"/>
          <w:szCs w:val="18"/>
          <w:vertAlign w:val="superscript"/>
        </w:rPr>
        <w:t>5</w:t>
      </w:r>
      <w:r>
        <w:rPr>
          <w:rFonts w:cstheme="minorHAnsi"/>
          <w:sz w:val="20"/>
          <w:szCs w:val="20"/>
        </w:rPr>
        <w:t>; Guillermo Rodriguez-Nava</w:t>
      </w:r>
      <w:r>
        <w:rPr>
          <w:rFonts w:cs="Calibri (Body)"/>
          <w:sz w:val="18"/>
          <w:szCs w:val="18"/>
          <w:vertAlign w:val="superscript"/>
        </w:rPr>
        <w:t>6</w:t>
      </w:r>
      <w:r>
        <w:rPr>
          <w:rFonts w:cstheme="minorHAnsi"/>
          <w:sz w:val="20"/>
          <w:szCs w:val="20"/>
        </w:rPr>
        <w:t>; Pool Marcos-Carbajal</w:t>
      </w:r>
      <w:r>
        <w:rPr>
          <w:rFonts w:cs="Calibri (Body)"/>
          <w:sz w:val="18"/>
          <w:szCs w:val="18"/>
          <w:vertAlign w:val="superscript"/>
        </w:rPr>
        <w:t>7,8</w:t>
      </w:r>
      <w:r>
        <w:rPr>
          <w:rFonts w:cstheme="minorHAnsi"/>
          <w:sz w:val="20"/>
          <w:szCs w:val="20"/>
        </w:rPr>
        <w:t>; Alessandro Zulli</w:t>
      </w:r>
      <w:r>
        <w:rPr>
          <w:rFonts w:cs="Calibri (Body)"/>
          <w:sz w:val="18"/>
          <w:szCs w:val="18"/>
          <w:vertAlign w:val="superscript"/>
        </w:rPr>
        <w:t>5</w:t>
      </w:r>
      <w:r>
        <w:rPr>
          <w:rFonts w:cstheme="minorHAnsi"/>
          <w:sz w:val="20"/>
          <w:szCs w:val="20"/>
        </w:rPr>
        <w:t>; Juan Gomez De La Torre</w:t>
      </w:r>
      <w:r>
        <w:rPr>
          <w:rFonts w:cs="Calibri (Body)"/>
          <w:sz w:val="18"/>
          <w:szCs w:val="18"/>
          <w:vertAlign w:val="superscript"/>
        </w:rPr>
        <w:t>8,9</w:t>
      </w:r>
      <w:r>
        <w:rPr>
          <w:rFonts w:cstheme="minorHAnsi"/>
          <w:sz w:val="20"/>
          <w:szCs w:val="20"/>
        </w:rPr>
        <w:t>; Jorge Alave</w:t>
      </w:r>
      <w:r>
        <w:rPr>
          <w:rFonts w:cs="Calibri (Body)"/>
          <w:sz w:val="18"/>
          <w:szCs w:val="18"/>
          <w:vertAlign w:val="superscript"/>
        </w:rPr>
        <w:t>10,11</w:t>
      </w:r>
      <w:r>
        <w:rPr>
          <w:rFonts w:cstheme="minorHAnsi"/>
          <w:sz w:val="20"/>
          <w:szCs w:val="20"/>
        </w:rPr>
        <w:t>; Alexandria Boehm</w:t>
      </w:r>
      <w:r>
        <w:rPr>
          <w:rFonts w:cs="Calibri (Body)"/>
          <w:sz w:val="18"/>
          <w:szCs w:val="18"/>
          <w:vertAlign w:val="superscript"/>
        </w:rPr>
        <w:t>5</w:t>
      </w:r>
      <w:r>
        <w:rPr>
          <w:rFonts w:cstheme="minorHAnsi"/>
          <w:sz w:val="20"/>
          <w:szCs w:val="20"/>
        </w:rPr>
        <w:t>; Jorge L. Salinas</w:t>
      </w:r>
      <w:r>
        <w:rPr>
          <w:rFonts w:cs="Calibri (Body)"/>
          <w:sz w:val="18"/>
          <w:szCs w:val="18"/>
          <w:vertAlign w:val="superscript"/>
        </w:rPr>
        <w:t>1</w:t>
      </w:r>
    </w:p>
    <w:p w14:paraId="7D7A19C2" w14:textId="77777777" w:rsidR="00286D1B" w:rsidRDefault="004B1BBD">
      <w:pPr>
        <w:spacing w:line="240" w:lineRule="auto"/>
        <w:contextualSpacing/>
        <w:rPr>
          <w:rFonts w:cstheme="minorHAnsi"/>
          <w:sz w:val="18"/>
          <w:szCs w:val="18"/>
        </w:rPr>
      </w:pPr>
      <w:r>
        <w:rPr>
          <w:rFonts w:cs="Calibri (Body)"/>
          <w:sz w:val="18"/>
          <w:szCs w:val="18"/>
          <w:vertAlign w:val="superscript"/>
        </w:rPr>
        <w:t>1</w:t>
      </w:r>
      <w:r>
        <w:rPr>
          <w:rFonts w:cstheme="minorHAnsi"/>
          <w:sz w:val="18"/>
          <w:szCs w:val="18"/>
        </w:rPr>
        <w:t xml:space="preserve"> Division of Infectious Diseases &amp; Geographic Medicine, Stanford University School of Medicine, Stanford, CA, USA</w:t>
      </w:r>
    </w:p>
    <w:p w14:paraId="503B346B" w14:textId="77777777" w:rsidR="00286D1B" w:rsidRDefault="004B1BBD">
      <w:pPr>
        <w:spacing w:line="240" w:lineRule="auto"/>
        <w:contextualSpacing/>
        <w:rPr>
          <w:rFonts w:cstheme="minorHAnsi"/>
          <w:sz w:val="18"/>
          <w:szCs w:val="18"/>
        </w:rPr>
      </w:pPr>
      <w:r>
        <w:rPr>
          <w:rFonts w:cs="Calibri (Body)"/>
          <w:sz w:val="18"/>
          <w:szCs w:val="18"/>
          <w:vertAlign w:val="superscript"/>
        </w:rPr>
        <w:t>2</w:t>
      </w:r>
      <w:r>
        <w:rPr>
          <w:rFonts w:cstheme="minorHAnsi"/>
          <w:sz w:val="18"/>
          <w:szCs w:val="18"/>
        </w:rPr>
        <w:t xml:space="preserve"> Division of Epidemiology, School of Public Health, University of California Berkeley, Berkeley, CA, USA</w:t>
      </w:r>
    </w:p>
    <w:p w14:paraId="0A56B9FA" w14:textId="77777777" w:rsidR="00286D1B" w:rsidRDefault="004B1BBD">
      <w:pPr>
        <w:spacing w:line="240" w:lineRule="auto"/>
        <w:contextualSpacing/>
        <w:rPr>
          <w:rFonts w:cstheme="minorHAnsi"/>
          <w:sz w:val="18"/>
          <w:szCs w:val="18"/>
        </w:rPr>
      </w:pPr>
      <w:r>
        <w:rPr>
          <w:rFonts w:cs="Calibri (Body)"/>
          <w:sz w:val="18"/>
          <w:szCs w:val="18"/>
          <w:vertAlign w:val="superscript"/>
        </w:rPr>
        <w:t>3</w:t>
      </w:r>
      <w:r>
        <w:rPr>
          <w:rFonts w:cstheme="minorHAnsi"/>
          <w:sz w:val="18"/>
          <w:szCs w:val="18"/>
        </w:rPr>
        <w:t xml:space="preserve"> School of Medicine, Universidad Peruana de Ciencias Aplicadas, Lima, Perú</w:t>
      </w:r>
    </w:p>
    <w:p w14:paraId="3C295BC6" w14:textId="77777777" w:rsidR="00286D1B" w:rsidRDefault="004B1BBD">
      <w:pPr>
        <w:spacing w:line="240" w:lineRule="auto"/>
        <w:contextualSpacing/>
        <w:rPr>
          <w:rFonts w:cstheme="minorHAnsi"/>
          <w:sz w:val="18"/>
          <w:szCs w:val="18"/>
        </w:rPr>
      </w:pPr>
      <w:r>
        <w:rPr>
          <w:rFonts w:cs="Calibri (Body)"/>
          <w:sz w:val="18"/>
          <w:szCs w:val="18"/>
          <w:vertAlign w:val="superscript"/>
        </w:rPr>
        <w:t>4</w:t>
      </w:r>
      <w:r>
        <w:rPr>
          <w:rFonts w:cstheme="minorHAnsi"/>
          <w:sz w:val="18"/>
          <w:szCs w:val="18"/>
        </w:rPr>
        <w:t xml:space="preserve"> Department of Internal Medicine, Rochester Regional Health/Rochester General Hospital, Rochester NY</w:t>
      </w:r>
    </w:p>
    <w:p w14:paraId="19B29E5D" w14:textId="77777777" w:rsidR="00286D1B" w:rsidRDefault="004B1BBD">
      <w:pPr>
        <w:spacing w:line="240" w:lineRule="auto"/>
        <w:contextualSpacing/>
        <w:rPr>
          <w:rFonts w:cstheme="minorHAnsi"/>
          <w:sz w:val="18"/>
          <w:szCs w:val="18"/>
        </w:rPr>
      </w:pPr>
      <w:r>
        <w:rPr>
          <w:rFonts w:cs="Calibri (Body)"/>
          <w:sz w:val="18"/>
          <w:szCs w:val="18"/>
          <w:vertAlign w:val="superscript"/>
        </w:rPr>
        <w:t>5</w:t>
      </w:r>
      <w:r>
        <w:rPr>
          <w:rFonts w:cstheme="minorHAnsi"/>
          <w:sz w:val="18"/>
          <w:szCs w:val="18"/>
        </w:rPr>
        <w:t xml:space="preserve"> Department of Civil and Environmental Engineering, Stanford University, Stanford, CA, USA</w:t>
      </w:r>
    </w:p>
    <w:p w14:paraId="74720AAF" w14:textId="77777777" w:rsidR="00286D1B" w:rsidRDefault="004B1BBD">
      <w:pPr>
        <w:spacing w:line="240" w:lineRule="auto"/>
        <w:contextualSpacing/>
        <w:rPr>
          <w:rFonts w:cstheme="minorHAnsi"/>
          <w:sz w:val="18"/>
          <w:szCs w:val="18"/>
        </w:rPr>
      </w:pPr>
      <w:r>
        <w:rPr>
          <w:rFonts w:cs="Calibri (Body)"/>
          <w:sz w:val="18"/>
          <w:szCs w:val="18"/>
          <w:vertAlign w:val="superscript"/>
        </w:rPr>
        <w:t>6</w:t>
      </w:r>
      <w:r>
        <w:rPr>
          <w:rFonts w:cstheme="minorHAnsi"/>
          <w:sz w:val="18"/>
          <w:szCs w:val="18"/>
        </w:rPr>
        <w:t xml:space="preserve"> Denver Health Medical Center and University of Colorado, Denver, CO</w:t>
      </w:r>
    </w:p>
    <w:p w14:paraId="5610BE8E" w14:textId="77777777" w:rsidR="00286D1B" w:rsidRDefault="004B1BBD">
      <w:pPr>
        <w:spacing w:line="240" w:lineRule="auto"/>
        <w:contextualSpacing/>
        <w:rPr>
          <w:rFonts w:cstheme="minorHAnsi"/>
          <w:sz w:val="18"/>
          <w:szCs w:val="18"/>
        </w:rPr>
      </w:pPr>
      <w:r>
        <w:rPr>
          <w:rFonts w:cs="Calibri (Body)"/>
          <w:sz w:val="18"/>
          <w:szCs w:val="18"/>
          <w:vertAlign w:val="superscript"/>
        </w:rPr>
        <w:t>7</w:t>
      </w:r>
      <w:r>
        <w:rPr>
          <w:rFonts w:cstheme="minorHAnsi"/>
          <w:sz w:val="18"/>
          <w:szCs w:val="18"/>
        </w:rPr>
        <w:t xml:space="preserve"> Molecular Biology Research Laboratory, Universidad Peruana Unión, Lima, Perú</w:t>
      </w:r>
    </w:p>
    <w:p w14:paraId="5B6B257A" w14:textId="77777777" w:rsidR="00286D1B" w:rsidRDefault="004B1BBD">
      <w:pPr>
        <w:spacing w:line="240" w:lineRule="auto"/>
        <w:contextualSpacing/>
        <w:rPr>
          <w:rFonts w:cstheme="minorHAnsi"/>
          <w:sz w:val="18"/>
          <w:szCs w:val="18"/>
        </w:rPr>
      </w:pPr>
      <w:r>
        <w:rPr>
          <w:rFonts w:cs="Calibri (Body)"/>
          <w:sz w:val="18"/>
          <w:szCs w:val="18"/>
          <w:vertAlign w:val="superscript"/>
        </w:rPr>
        <w:t>8</w:t>
      </w:r>
      <w:r>
        <w:rPr>
          <w:rFonts w:cstheme="minorHAnsi"/>
          <w:sz w:val="18"/>
          <w:szCs w:val="18"/>
        </w:rPr>
        <w:t xml:space="preserve"> Institute of Biomedical Research, Ricardo Palma University, Lima, Peru</w:t>
      </w:r>
    </w:p>
    <w:p w14:paraId="388995A2" w14:textId="77777777" w:rsidR="00286D1B" w:rsidRDefault="004B1BBD">
      <w:pPr>
        <w:spacing w:line="240" w:lineRule="auto"/>
        <w:contextualSpacing/>
        <w:rPr>
          <w:rFonts w:cstheme="minorHAnsi"/>
          <w:sz w:val="18"/>
          <w:szCs w:val="18"/>
        </w:rPr>
      </w:pPr>
      <w:r>
        <w:rPr>
          <w:rFonts w:cs="Calibri (Body)"/>
          <w:sz w:val="18"/>
          <w:szCs w:val="18"/>
          <w:vertAlign w:val="superscript"/>
        </w:rPr>
        <w:t>9</w:t>
      </w:r>
      <w:r>
        <w:rPr>
          <w:rFonts w:cstheme="minorHAnsi"/>
          <w:sz w:val="18"/>
          <w:szCs w:val="18"/>
        </w:rPr>
        <w:t xml:space="preserve"> Microbiology Department, Laboratorios ROE, Lima, Perú</w:t>
      </w:r>
    </w:p>
    <w:p w14:paraId="113E394D" w14:textId="77777777" w:rsidR="00286D1B" w:rsidRDefault="004B1BBD">
      <w:pPr>
        <w:spacing w:line="240" w:lineRule="auto"/>
        <w:contextualSpacing/>
        <w:rPr>
          <w:rFonts w:cstheme="minorHAnsi"/>
          <w:sz w:val="18"/>
          <w:szCs w:val="18"/>
        </w:rPr>
      </w:pPr>
      <w:r>
        <w:rPr>
          <w:rFonts w:cs="Calibri (Body)"/>
          <w:sz w:val="18"/>
          <w:szCs w:val="18"/>
          <w:vertAlign w:val="superscript"/>
        </w:rPr>
        <w:t>10</w:t>
      </w:r>
      <w:r>
        <w:rPr>
          <w:rFonts w:cstheme="minorHAnsi"/>
          <w:sz w:val="18"/>
          <w:szCs w:val="18"/>
        </w:rPr>
        <w:t xml:space="preserve"> School of Medicine, Universidad Peruana Unión, Lima, Perú</w:t>
      </w:r>
    </w:p>
    <w:p w14:paraId="1B290376" w14:textId="77777777" w:rsidR="00286D1B" w:rsidRDefault="004B1BBD">
      <w:pPr>
        <w:spacing w:line="240" w:lineRule="auto"/>
        <w:contextualSpacing/>
        <w:rPr>
          <w:rFonts w:cstheme="minorHAnsi"/>
          <w:sz w:val="18"/>
          <w:szCs w:val="18"/>
        </w:rPr>
      </w:pPr>
      <w:r>
        <w:rPr>
          <w:rFonts w:cs="Calibri (Body)"/>
          <w:sz w:val="18"/>
          <w:szCs w:val="18"/>
          <w:vertAlign w:val="superscript"/>
        </w:rPr>
        <w:t>11</w:t>
      </w:r>
      <w:r>
        <w:rPr>
          <w:rFonts w:cstheme="minorHAnsi"/>
          <w:sz w:val="18"/>
          <w:szCs w:val="18"/>
        </w:rPr>
        <w:t xml:space="preserve"> Infectious Disease Department, Hospital Cayetano Heredia, Lima, Perú</w:t>
      </w:r>
    </w:p>
    <w:p w14:paraId="0F767A18" w14:textId="77777777" w:rsidR="00286D1B" w:rsidRDefault="00286D1B">
      <w:pPr>
        <w:rPr>
          <w:rFonts w:cstheme="minorHAnsi"/>
          <w:sz w:val="20"/>
          <w:szCs w:val="20"/>
        </w:rPr>
      </w:pPr>
    </w:p>
    <w:p w14:paraId="4F36B559" w14:textId="77777777" w:rsidR="00967449" w:rsidRDefault="004B1BBD">
      <w:pPr>
        <w:rPr>
          <w:rFonts w:cstheme="minorHAnsi"/>
          <w:sz w:val="20"/>
          <w:szCs w:val="20"/>
        </w:rPr>
      </w:pPr>
      <w:r>
        <w:rPr>
          <w:rFonts w:cstheme="minorHAnsi"/>
          <w:b/>
          <w:bCs/>
          <w:sz w:val="20"/>
          <w:szCs w:val="20"/>
        </w:rPr>
        <w:t>Background:</w:t>
      </w:r>
      <w:r>
        <w:rPr>
          <w:rFonts w:cstheme="minorHAnsi"/>
          <w:sz w:val="20"/>
          <w:szCs w:val="20"/>
        </w:rPr>
        <w:t xml:space="preserve"> Wastewater-based epidemiology offers a non-invasive approach to monitor pathogen circulation. However, its utility for tuberculosis surveillance in healthcare settings is not well established. We evaluated the feasibility and challenges of detecting Mycobacterium tuberculosis complex in wastewater from three hospitals in Lima, Peru. </w:t>
      </w:r>
    </w:p>
    <w:p w14:paraId="00D7EDE1" w14:textId="77777777" w:rsidR="00967449" w:rsidRDefault="004B1BBD">
      <w:pPr>
        <w:rPr>
          <w:rFonts w:cstheme="minorHAnsi"/>
          <w:sz w:val="20"/>
          <w:szCs w:val="20"/>
        </w:rPr>
      </w:pPr>
      <w:r>
        <w:rPr>
          <w:rFonts w:cstheme="minorHAnsi"/>
          <w:b/>
          <w:bCs/>
          <w:sz w:val="20"/>
          <w:szCs w:val="20"/>
        </w:rPr>
        <w:t>Methods</w:t>
      </w:r>
      <w:r>
        <w:rPr>
          <w:rFonts w:cstheme="minorHAnsi"/>
          <w:sz w:val="20"/>
          <w:szCs w:val="20"/>
        </w:rPr>
        <w:t xml:space="preserve">: From July to October 2025, we collected weekly wastewater grab samples from two locations at each of the three tertiary-care hospitals: infectious disease (ID) wards (where tuberculosis patients were hospitalized) and main hospital outlets. We detected M. tuberculosis complex DNA using digital droplet PCR targeting two complementary molecular markers: IS6110 (high-sensitivity multi-copy insertion sequence) and RD9 (high-specificity deletion marker). Samples with at least three positive droplets were classified as detected. We calculated detection rates as the proportion of samples that were positive and assessed associations with weekly tuberculosis case counts using logistic regression. </w:t>
      </w:r>
    </w:p>
    <w:p w14:paraId="76CD7C58" w14:textId="77777777" w:rsidR="00967449" w:rsidRDefault="004B1BBD">
      <w:pPr>
        <w:rPr>
          <w:rFonts w:cstheme="minorHAnsi"/>
          <w:sz w:val="20"/>
          <w:szCs w:val="20"/>
        </w:rPr>
      </w:pPr>
      <w:r>
        <w:rPr>
          <w:rFonts w:cstheme="minorHAnsi"/>
          <w:b/>
          <w:bCs/>
          <w:sz w:val="20"/>
          <w:szCs w:val="20"/>
        </w:rPr>
        <w:t>Results:</w:t>
      </w:r>
      <w:r>
        <w:rPr>
          <w:rFonts w:cstheme="minorHAnsi"/>
          <w:sz w:val="20"/>
          <w:szCs w:val="20"/>
        </w:rPr>
        <w:t xml:space="preserve"> M. tuberculosis complex DNA was detected in 50% (36/72) of all wastewater samples across both sampling outlets in all three hospitals. IS6110 was detected more often than RD9 (49</w:t>
      </w:r>
      <w:proofErr w:type="gramStart"/>
      <w:r>
        <w:rPr>
          <w:rFonts w:cstheme="minorHAnsi"/>
          <w:sz w:val="20"/>
          <w:szCs w:val="20"/>
        </w:rPr>
        <w:t>%[</w:t>
      </w:r>
      <w:proofErr w:type="gramEnd"/>
      <w:r>
        <w:rPr>
          <w:rFonts w:cstheme="minorHAnsi"/>
          <w:sz w:val="20"/>
          <w:szCs w:val="20"/>
        </w:rPr>
        <w:t>35/72] versus 18</w:t>
      </w:r>
      <w:proofErr w:type="gramStart"/>
      <w:r>
        <w:rPr>
          <w:rFonts w:cstheme="minorHAnsi"/>
          <w:sz w:val="20"/>
          <w:szCs w:val="20"/>
        </w:rPr>
        <w:t>%[</w:t>
      </w:r>
      <w:proofErr w:type="gramEnd"/>
      <w:r>
        <w:rPr>
          <w:rFonts w:cstheme="minorHAnsi"/>
          <w:sz w:val="20"/>
          <w:szCs w:val="20"/>
        </w:rPr>
        <w:t>13/72]; McNemar's test p&lt;0.001), with fair inter-target agreement (Cohen's κ=0.32, 95% CI: 0.10-0.54, p=0.005). Detection of both targets in 17% [12/72] of samples represented high-confidence M. tuberculosis complex positives. Detection was higher in ID ward outlets versus main hospital outlets (56% [20/36] vs. 44% [16/36], p=0.35). Substantial inter-hospital heterogeneity was observed in ID wards (Hospital A: 8</w:t>
      </w:r>
      <w:proofErr w:type="gramStart"/>
      <w:r>
        <w:rPr>
          <w:rFonts w:cstheme="minorHAnsi"/>
          <w:sz w:val="20"/>
          <w:szCs w:val="20"/>
        </w:rPr>
        <w:t>%[</w:t>
      </w:r>
      <w:proofErr w:type="gramEnd"/>
      <w:r>
        <w:rPr>
          <w:rFonts w:cstheme="minorHAnsi"/>
          <w:sz w:val="20"/>
          <w:szCs w:val="20"/>
        </w:rPr>
        <w:t>1/12], Hospital B: 92</w:t>
      </w:r>
      <w:proofErr w:type="gramStart"/>
      <w:r>
        <w:rPr>
          <w:rFonts w:cstheme="minorHAnsi"/>
          <w:sz w:val="20"/>
          <w:szCs w:val="20"/>
        </w:rPr>
        <w:t>%[</w:t>
      </w:r>
      <w:proofErr w:type="gramEnd"/>
      <w:r>
        <w:rPr>
          <w:rFonts w:cstheme="minorHAnsi"/>
          <w:sz w:val="20"/>
          <w:szCs w:val="20"/>
        </w:rPr>
        <w:t>11/12], Hospital C: 67</w:t>
      </w:r>
      <w:proofErr w:type="gramStart"/>
      <w:r>
        <w:rPr>
          <w:rFonts w:cstheme="minorHAnsi"/>
          <w:sz w:val="20"/>
          <w:szCs w:val="20"/>
        </w:rPr>
        <w:t>%[</w:t>
      </w:r>
      <w:proofErr w:type="gramEnd"/>
      <w:r>
        <w:rPr>
          <w:rFonts w:cstheme="minorHAnsi"/>
          <w:sz w:val="20"/>
          <w:szCs w:val="20"/>
        </w:rPr>
        <w:t xml:space="preserve">8/12]; Fisher's exact p&lt;0.001). Logistic regression revealed no significant relationship between case counts and detection probability (IS6110: odds ratio=1.10 per case, 95% CI: 0.90-1.38, p=0.365; RD9: odds ratio=1.19 per case, 95% CI: 0.95-1.53, p=0.141).  </w:t>
      </w:r>
    </w:p>
    <w:p w14:paraId="4428313C" w14:textId="77777777" w:rsidR="00286D1B" w:rsidRDefault="004B1BBD">
      <w:pPr>
        <w:rPr>
          <w:rFonts w:cstheme="minorHAnsi"/>
          <w:sz w:val="20"/>
          <w:szCs w:val="20"/>
        </w:rPr>
      </w:pPr>
      <w:r>
        <w:rPr>
          <w:rFonts w:cstheme="minorHAnsi"/>
          <w:b/>
          <w:bCs/>
          <w:sz w:val="20"/>
          <w:szCs w:val="20"/>
        </w:rPr>
        <w:t>Conclusions</w:t>
      </w:r>
      <w:r>
        <w:rPr>
          <w:rFonts w:cstheme="minorHAnsi"/>
          <w:sz w:val="20"/>
          <w:szCs w:val="20"/>
        </w:rPr>
        <w:t>: In this pilot study with a limited sample size, detecting M. tuberculosis complex in hospital wastewater in a high tuberculosis-burden setting was feasible at both the ID ward and general hospital sampling points. Substantial inter-hospital variability suggests local factors, including infrastructure, infection control practices, and patient flow, may influence detection.</w:t>
      </w:r>
    </w:p>
    <w:p w14:paraId="54F59400" w14:textId="77777777" w:rsidR="00691E24" w:rsidRDefault="00691E24">
      <w:pPr>
        <w:rPr>
          <w:rFonts w:eastAsia="Times New Roman"/>
          <w:color w:val="000000" w:themeColor="text1"/>
          <w:sz w:val="24"/>
          <w:szCs w:val="24"/>
        </w:rPr>
      </w:pPr>
      <w:r>
        <w:rPr>
          <w:rFonts w:eastAsia="Times New Roman"/>
        </w:rPr>
        <w:lastRenderedPageBreak/>
        <w:br w:type="page"/>
      </w:r>
    </w:p>
    <w:p w14:paraId="6C3BAF98" w14:textId="77777777" w:rsidR="00286D1B" w:rsidRDefault="004B1BBD">
      <w:pPr>
        <w:pStyle w:val="Heading2"/>
        <w:rPr>
          <w:rFonts w:asciiTheme="minorHAnsi" w:eastAsia="Times New Roman" w:hAnsiTheme="minorHAnsi" w:cstheme="minorBidi"/>
        </w:rPr>
      </w:pPr>
      <w:bookmarkStart w:id="41" w:name="_Toc238729469"/>
      <w:r>
        <w:rPr>
          <w:rFonts w:asciiTheme="minorHAnsi" w:eastAsia="Times New Roman" w:hAnsiTheme="minorHAnsi" w:cstheme="minorBidi"/>
        </w:rPr>
        <w:lastRenderedPageBreak/>
        <w:t>PP-28: Qiao Wang, UCI</w:t>
      </w:r>
      <w:bookmarkEnd w:id="41"/>
    </w:p>
    <w:p w14:paraId="48CC5420" w14:textId="77777777" w:rsidR="00286D1B" w:rsidRDefault="00286D1B">
      <w:pPr>
        <w:rPr>
          <w:rFonts w:cstheme="minorHAnsi"/>
          <w:sz w:val="20"/>
          <w:szCs w:val="20"/>
        </w:rPr>
      </w:pPr>
    </w:p>
    <w:p w14:paraId="61C43DD8" w14:textId="77777777" w:rsidR="00286D1B" w:rsidRDefault="004B1BBD">
      <w:pPr>
        <w:rPr>
          <w:rFonts w:cstheme="minorHAnsi"/>
          <w:sz w:val="24"/>
          <w:szCs w:val="24"/>
        </w:rPr>
      </w:pPr>
      <w:r>
        <w:rPr>
          <w:rFonts w:cstheme="minorHAnsi"/>
          <w:b/>
          <w:bCs/>
          <w:sz w:val="24"/>
          <w:szCs w:val="24"/>
        </w:rPr>
        <w:t>Evaluation of LyoDx TB-SIX as a non-sputum TB screening test in a high-burden setting</w:t>
      </w:r>
    </w:p>
    <w:p w14:paraId="408568BA" w14:textId="77777777" w:rsidR="00286D1B" w:rsidRDefault="004B1BBD">
      <w:pPr>
        <w:rPr>
          <w:rFonts w:cstheme="minorHAnsi"/>
          <w:sz w:val="20"/>
          <w:szCs w:val="20"/>
        </w:rPr>
      </w:pPr>
      <w:r>
        <w:rPr>
          <w:rFonts w:cstheme="minorHAnsi"/>
          <w:sz w:val="20"/>
          <w:szCs w:val="20"/>
        </w:rPr>
        <w:t>Qiao Wang, UCI</w:t>
      </w:r>
    </w:p>
    <w:p w14:paraId="590F7891" w14:textId="77777777" w:rsidR="00286D1B" w:rsidRDefault="004B1BBD">
      <w:pPr>
        <w:rPr>
          <w:rFonts w:eastAsia="Aptos" w:cstheme="minorHAnsi"/>
          <w:sz w:val="20"/>
        </w:rPr>
      </w:pPr>
      <w:r>
        <w:rPr>
          <w:rFonts w:eastAsia="Aptos" w:cstheme="minorHAnsi"/>
          <w:sz w:val="20"/>
        </w:rPr>
        <w:t xml:space="preserve">Email: </w:t>
      </w:r>
      <w:hyperlink r:id="rId47" w:history="1">
        <w:r>
          <w:rPr>
            <w:rStyle w:val="Hyperlink"/>
            <w:rFonts w:eastAsia="Aptos" w:cstheme="minorHAnsi"/>
            <w:sz w:val="20"/>
          </w:rPr>
          <w:t>qiaow2@hs.uci.edu</w:t>
        </w:r>
      </w:hyperlink>
    </w:p>
    <w:p w14:paraId="41913A14" w14:textId="77777777" w:rsidR="00286D1B" w:rsidRDefault="00286D1B">
      <w:pPr>
        <w:rPr>
          <w:rFonts w:cstheme="minorHAnsi"/>
          <w:sz w:val="20"/>
          <w:szCs w:val="20"/>
        </w:rPr>
      </w:pPr>
    </w:p>
    <w:p w14:paraId="7B6DDE37" w14:textId="77777777" w:rsidR="00286D1B" w:rsidRDefault="004B1BBD">
      <w:pPr>
        <w:rPr>
          <w:rFonts w:cstheme="minorHAnsi"/>
          <w:sz w:val="20"/>
          <w:szCs w:val="20"/>
        </w:rPr>
      </w:pPr>
      <w:r>
        <w:rPr>
          <w:rFonts w:cstheme="minorHAnsi"/>
          <w:sz w:val="20"/>
          <w:szCs w:val="20"/>
        </w:rPr>
        <w:t>Wang, Qiao</w:t>
      </w:r>
      <w:r>
        <w:rPr>
          <w:rFonts w:cs="Calibri (Body)"/>
          <w:sz w:val="18"/>
          <w:szCs w:val="18"/>
          <w:vertAlign w:val="superscript"/>
        </w:rPr>
        <w:t>1,2</w:t>
      </w:r>
      <w:r>
        <w:rPr>
          <w:rFonts w:cstheme="minorHAnsi"/>
          <w:sz w:val="20"/>
          <w:szCs w:val="20"/>
        </w:rPr>
        <w:t>; Mochizuki, Tessa</w:t>
      </w:r>
      <w:r>
        <w:rPr>
          <w:rFonts w:cs="Calibri (Body)"/>
          <w:sz w:val="18"/>
          <w:szCs w:val="18"/>
          <w:vertAlign w:val="superscript"/>
        </w:rPr>
        <w:t>2</w:t>
      </w:r>
      <w:r>
        <w:rPr>
          <w:rFonts w:cstheme="minorHAnsi"/>
          <w:sz w:val="20"/>
          <w:szCs w:val="20"/>
        </w:rPr>
        <w:t>; Moe, Caitlin</w:t>
      </w:r>
      <w:r>
        <w:rPr>
          <w:rFonts w:cs="Calibri (Body)"/>
          <w:sz w:val="18"/>
          <w:szCs w:val="18"/>
          <w:vertAlign w:val="superscript"/>
        </w:rPr>
        <w:t>1,2</w:t>
      </w:r>
      <w:r>
        <w:rPr>
          <w:rFonts w:cstheme="minorHAnsi"/>
          <w:sz w:val="20"/>
          <w:szCs w:val="20"/>
        </w:rPr>
        <w:t>; Poore, Hayley</w:t>
      </w:r>
      <w:r>
        <w:rPr>
          <w:rFonts w:cs="Calibri (Body)"/>
          <w:sz w:val="18"/>
          <w:szCs w:val="18"/>
          <w:vertAlign w:val="superscript"/>
        </w:rPr>
        <w:t>1,2</w:t>
      </w:r>
      <w:r>
        <w:rPr>
          <w:rFonts w:cstheme="minorHAnsi"/>
          <w:sz w:val="20"/>
          <w:szCs w:val="20"/>
        </w:rPr>
        <w:t>; Castro, Rob</w:t>
      </w:r>
      <w:r>
        <w:rPr>
          <w:rFonts w:cs="Calibri (Body)"/>
          <w:sz w:val="18"/>
          <w:szCs w:val="18"/>
          <w:vertAlign w:val="superscript"/>
        </w:rPr>
        <w:t>2</w:t>
      </w:r>
      <w:r>
        <w:rPr>
          <w:rFonts w:cstheme="minorHAnsi"/>
          <w:sz w:val="20"/>
          <w:szCs w:val="20"/>
        </w:rPr>
        <w:t>; Taeed, Tara</w:t>
      </w:r>
      <w:r>
        <w:rPr>
          <w:rFonts w:cs="Calibri (Body)"/>
          <w:sz w:val="18"/>
          <w:szCs w:val="18"/>
          <w:vertAlign w:val="superscript"/>
        </w:rPr>
        <w:t>2</w:t>
      </w:r>
      <w:r>
        <w:rPr>
          <w:rFonts w:cstheme="minorHAnsi"/>
          <w:sz w:val="20"/>
          <w:szCs w:val="20"/>
        </w:rPr>
        <w:t>; Kadota, Jillian</w:t>
      </w:r>
      <w:r>
        <w:rPr>
          <w:rFonts w:cs="Calibri (Body)"/>
          <w:sz w:val="18"/>
          <w:szCs w:val="18"/>
          <w:vertAlign w:val="superscript"/>
        </w:rPr>
        <w:t>2</w:t>
      </w:r>
      <w:r>
        <w:rPr>
          <w:rFonts w:cstheme="minorHAnsi"/>
          <w:sz w:val="20"/>
          <w:szCs w:val="20"/>
        </w:rPr>
        <w:t>; Costantini, Mariko</w:t>
      </w:r>
      <w:r>
        <w:rPr>
          <w:rFonts w:cs="Calibri (Body)"/>
          <w:sz w:val="18"/>
          <w:szCs w:val="18"/>
          <w:vertAlign w:val="superscript"/>
        </w:rPr>
        <w:t>2</w:t>
      </w:r>
      <w:r>
        <w:rPr>
          <w:rFonts w:cstheme="minorHAnsi"/>
          <w:sz w:val="20"/>
          <w:szCs w:val="20"/>
        </w:rPr>
        <w:t>; Gavin, Quinn</w:t>
      </w:r>
      <w:r>
        <w:rPr>
          <w:rFonts w:cs="Calibri (Body)"/>
          <w:sz w:val="18"/>
          <w:szCs w:val="18"/>
          <w:vertAlign w:val="superscript"/>
        </w:rPr>
        <w:t>1,2</w:t>
      </w:r>
      <w:r>
        <w:rPr>
          <w:rFonts w:cstheme="minorHAnsi"/>
          <w:sz w:val="20"/>
          <w:szCs w:val="20"/>
        </w:rPr>
        <w:t>; Andama, Alfred</w:t>
      </w:r>
      <w:r>
        <w:rPr>
          <w:rFonts w:cs="Calibri (Body)"/>
          <w:sz w:val="18"/>
          <w:szCs w:val="18"/>
          <w:vertAlign w:val="superscript"/>
        </w:rPr>
        <w:t>3</w:t>
      </w:r>
      <w:r>
        <w:rPr>
          <w:rFonts w:cstheme="minorHAnsi"/>
          <w:sz w:val="20"/>
          <w:szCs w:val="20"/>
        </w:rPr>
        <w:t>; Worodria, William</w:t>
      </w:r>
      <w:r>
        <w:rPr>
          <w:rFonts w:cs="Calibri (Body)"/>
          <w:sz w:val="18"/>
          <w:szCs w:val="18"/>
          <w:vertAlign w:val="superscript"/>
        </w:rPr>
        <w:t>3</w:t>
      </w:r>
      <w:r>
        <w:rPr>
          <w:rFonts w:cstheme="minorHAnsi"/>
          <w:sz w:val="20"/>
          <w:szCs w:val="20"/>
        </w:rPr>
        <w:t>; Phillips, Patrick</w:t>
      </w:r>
      <w:r>
        <w:rPr>
          <w:rFonts w:cs="Calibri (Body)"/>
          <w:sz w:val="18"/>
          <w:szCs w:val="18"/>
          <w:vertAlign w:val="superscript"/>
        </w:rPr>
        <w:t>2</w:t>
      </w:r>
      <w:r>
        <w:rPr>
          <w:rFonts w:cstheme="minorHAnsi"/>
          <w:sz w:val="20"/>
          <w:szCs w:val="20"/>
        </w:rPr>
        <w:t>; Jaganath, Devan</w:t>
      </w:r>
      <w:r>
        <w:rPr>
          <w:rFonts w:cs="Calibri (Body)"/>
          <w:sz w:val="18"/>
          <w:szCs w:val="18"/>
          <w:vertAlign w:val="superscript"/>
        </w:rPr>
        <w:t>2</w:t>
      </w:r>
      <w:r>
        <w:rPr>
          <w:rFonts w:cstheme="minorHAnsi"/>
          <w:sz w:val="20"/>
          <w:szCs w:val="20"/>
        </w:rPr>
        <w:t>; Kato-Maeda, Midori</w:t>
      </w:r>
      <w:r>
        <w:rPr>
          <w:rFonts w:cs="Calibri (Body)"/>
          <w:sz w:val="18"/>
          <w:szCs w:val="18"/>
          <w:vertAlign w:val="superscript"/>
        </w:rPr>
        <w:t>2</w:t>
      </w:r>
      <w:r>
        <w:rPr>
          <w:rFonts w:cstheme="minorHAnsi"/>
          <w:sz w:val="20"/>
          <w:szCs w:val="20"/>
        </w:rPr>
        <w:t>; Kerkhoff, Andrew</w:t>
      </w:r>
      <w:r>
        <w:rPr>
          <w:rFonts w:cs="Calibri (Body)"/>
          <w:sz w:val="18"/>
          <w:szCs w:val="18"/>
          <w:vertAlign w:val="superscript"/>
        </w:rPr>
        <w:t>2</w:t>
      </w:r>
      <w:r>
        <w:rPr>
          <w:rFonts w:cstheme="minorHAnsi"/>
          <w:sz w:val="20"/>
          <w:szCs w:val="20"/>
        </w:rPr>
        <w:t>; Yerlikaya, Seda</w:t>
      </w:r>
      <w:r>
        <w:rPr>
          <w:rFonts w:cs="Calibri (Body)"/>
          <w:sz w:val="18"/>
          <w:szCs w:val="18"/>
          <w:vertAlign w:val="superscript"/>
        </w:rPr>
        <w:t>4</w:t>
      </w:r>
      <w:r>
        <w:rPr>
          <w:rFonts w:cstheme="minorHAnsi"/>
          <w:sz w:val="20"/>
          <w:szCs w:val="20"/>
        </w:rPr>
        <w:t>; Denkinger, Claudia</w:t>
      </w:r>
      <w:r>
        <w:rPr>
          <w:rFonts w:cs="Calibri (Body)"/>
          <w:sz w:val="18"/>
          <w:szCs w:val="18"/>
          <w:vertAlign w:val="superscript"/>
        </w:rPr>
        <w:t>4,5</w:t>
      </w:r>
      <w:r>
        <w:rPr>
          <w:rFonts w:cstheme="minorHAnsi"/>
          <w:sz w:val="20"/>
          <w:szCs w:val="20"/>
        </w:rPr>
        <w:t>; Nahid, Payam</w:t>
      </w:r>
      <w:r>
        <w:rPr>
          <w:rFonts w:cs="Calibri (Body)"/>
          <w:sz w:val="18"/>
          <w:szCs w:val="18"/>
          <w:vertAlign w:val="superscript"/>
        </w:rPr>
        <w:t>2</w:t>
      </w:r>
      <w:r>
        <w:rPr>
          <w:rFonts w:cstheme="minorHAnsi"/>
          <w:sz w:val="20"/>
          <w:szCs w:val="20"/>
        </w:rPr>
        <w:t>; Cattamanchi, Adithya</w:t>
      </w:r>
      <w:r>
        <w:rPr>
          <w:rFonts w:cs="Calibri (Body)"/>
          <w:sz w:val="18"/>
          <w:szCs w:val="18"/>
          <w:vertAlign w:val="superscript"/>
        </w:rPr>
        <w:t>1,2</w:t>
      </w:r>
    </w:p>
    <w:p w14:paraId="40F2D2BA" w14:textId="77777777" w:rsidR="00286D1B" w:rsidRDefault="004B1BBD">
      <w:pPr>
        <w:spacing w:line="240" w:lineRule="auto"/>
        <w:contextualSpacing/>
        <w:rPr>
          <w:rFonts w:cstheme="minorHAnsi"/>
          <w:sz w:val="18"/>
          <w:szCs w:val="18"/>
        </w:rPr>
      </w:pPr>
      <w:r>
        <w:rPr>
          <w:rFonts w:cs="Calibri (Body)"/>
          <w:sz w:val="18"/>
          <w:szCs w:val="18"/>
          <w:vertAlign w:val="superscript"/>
        </w:rPr>
        <w:t>1</w:t>
      </w:r>
      <w:r>
        <w:rPr>
          <w:rFonts w:cstheme="minorHAnsi"/>
          <w:sz w:val="18"/>
          <w:szCs w:val="18"/>
        </w:rPr>
        <w:t xml:space="preserve"> University of California Irvine, Irvine, California</w:t>
      </w:r>
    </w:p>
    <w:p w14:paraId="3E8AEEE1" w14:textId="77777777" w:rsidR="00286D1B" w:rsidRDefault="004B1BBD">
      <w:pPr>
        <w:spacing w:line="240" w:lineRule="auto"/>
        <w:contextualSpacing/>
        <w:rPr>
          <w:rFonts w:cstheme="minorHAnsi"/>
          <w:sz w:val="18"/>
          <w:szCs w:val="18"/>
        </w:rPr>
      </w:pPr>
      <w:r>
        <w:rPr>
          <w:rFonts w:cs="Calibri (Body)"/>
          <w:sz w:val="18"/>
          <w:szCs w:val="18"/>
          <w:vertAlign w:val="superscript"/>
        </w:rPr>
        <w:t>2</w:t>
      </w:r>
      <w:r>
        <w:rPr>
          <w:rFonts w:cstheme="minorHAnsi"/>
          <w:sz w:val="18"/>
          <w:szCs w:val="18"/>
        </w:rPr>
        <w:t xml:space="preserve"> University of California San Francisco, San Francisco, California</w:t>
      </w:r>
    </w:p>
    <w:p w14:paraId="72FB0840" w14:textId="77777777" w:rsidR="00286D1B" w:rsidRDefault="004B1BBD">
      <w:pPr>
        <w:spacing w:line="240" w:lineRule="auto"/>
        <w:contextualSpacing/>
        <w:rPr>
          <w:rFonts w:cstheme="minorHAnsi"/>
          <w:sz w:val="18"/>
          <w:szCs w:val="18"/>
        </w:rPr>
      </w:pPr>
      <w:r>
        <w:rPr>
          <w:rFonts w:cs="Calibri (Body)"/>
          <w:sz w:val="18"/>
          <w:szCs w:val="18"/>
          <w:vertAlign w:val="superscript"/>
        </w:rPr>
        <w:t>3</w:t>
      </w:r>
      <w:r>
        <w:rPr>
          <w:rFonts w:cstheme="minorHAnsi"/>
          <w:sz w:val="18"/>
          <w:szCs w:val="18"/>
        </w:rPr>
        <w:t xml:space="preserve"> Makerere University, Kampala, Uganda</w:t>
      </w:r>
    </w:p>
    <w:p w14:paraId="23786947" w14:textId="77777777" w:rsidR="00286D1B" w:rsidRDefault="004B1BBD">
      <w:pPr>
        <w:spacing w:line="240" w:lineRule="auto"/>
        <w:contextualSpacing/>
        <w:rPr>
          <w:rFonts w:cstheme="minorHAnsi"/>
          <w:sz w:val="18"/>
          <w:szCs w:val="18"/>
        </w:rPr>
      </w:pPr>
      <w:r>
        <w:rPr>
          <w:rFonts w:cs="Calibri (Body)"/>
          <w:sz w:val="18"/>
          <w:szCs w:val="18"/>
          <w:vertAlign w:val="superscript"/>
        </w:rPr>
        <w:t>4</w:t>
      </w:r>
      <w:r>
        <w:rPr>
          <w:rFonts w:cstheme="minorHAnsi"/>
          <w:sz w:val="18"/>
          <w:szCs w:val="18"/>
        </w:rPr>
        <w:t xml:space="preserve"> Heidelberg University Hospital, Heidelberg, Germany</w:t>
      </w:r>
    </w:p>
    <w:p w14:paraId="5D6B7D2B" w14:textId="77777777" w:rsidR="00286D1B" w:rsidRDefault="004B1BBD">
      <w:pPr>
        <w:spacing w:line="240" w:lineRule="auto"/>
        <w:contextualSpacing/>
        <w:rPr>
          <w:rFonts w:cstheme="minorHAnsi"/>
          <w:sz w:val="18"/>
          <w:szCs w:val="18"/>
        </w:rPr>
      </w:pPr>
      <w:r>
        <w:rPr>
          <w:rFonts w:cs="Calibri (Body)"/>
          <w:sz w:val="18"/>
          <w:szCs w:val="18"/>
          <w:vertAlign w:val="superscript"/>
        </w:rPr>
        <w:t>5</w:t>
      </w:r>
      <w:r>
        <w:rPr>
          <w:rFonts w:cstheme="minorHAnsi"/>
          <w:sz w:val="18"/>
          <w:szCs w:val="18"/>
        </w:rPr>
        <w:t xml:space="preserve"> German Centre for infection Research (DZIF), partner site Heidelberg University Hospital, Heidelberg, Germany</w:t>
      </w:r>
    </w:p>
    <w:p w14:paraId="7FADB32F" w14:textId="77777777" w:rsidR="00286D1B" w:rsidRDefault="00286D1B">
      <w:pPr>
        <w:rPr>
          <w:rFonts w:cstheme="minorHAnsi"/>
          <w:sz w:val="20"/>
          <w:szCs w:val="20"/>
        </w:rPr>
      </w:pPr>
    </w:p>
    <w:p w14:paraId="45C006BD" w14:textId="77777777" w:rsidR="00286D1B" w:rsidRDefault="004B1BBD">
      <w:pPr>
        <w:rPr>
          <w:rFonts w:cstheme="minorHAnsi"/>
          <w:sz w:val="20"/>
          <w:szCs w:val="20"/>
        </w:rPr>
      </w:pPr>
      <w:r>
        <w:rPr>
          <w:rFonts w:cstheme="minorHAnsi"/>
          <w:b/>
          <w:bCs/>
          <w:sz w:val="20"/>
          <w:szCs w:val="20"/>
        </w:rPr>
        <w:t>Background:</w:t>
      </w:r>
      <w:r>
        <w:rPr>
          <w:rFonts w:cstheme="minorHAnsi"/>
          <w:sz w:val="20"/>
          <w:szCs w:val="20"/>
        </w:rPr>
        <w:t xml:space="preserve"> Blood-based host transcriptomic signatures, including the 6-gene RISK6 panel, have shown accuracy suitable for TB screening. The TB-SIX assay (LyoDx, UK) operationalizes RISK6 as a multiplexed, semi-automated RT-qPCR test. Whether TB-SIX meets WHO accuracy targets for a TB screening test and performs equivalently to RISK6 has not been established.</w:t>
      </w:r>
    </w:p>
    <w:p w14:paraId="72CF5374" w14:textId="77777777" w:rsidR="00286D1B" w:rsidRDefault="004B1BBD">
      <w:pPr>
        <w:rPr>
          <w:rFonts w:cstheme="minorHAnsi"/>
          <w:sz w:val="20"/>
          <w:szCs w:val="20"/>
        </w:rPr>
      </w:pPr>
      <w:r>
        <w:rPr>
          <w:rFonts w:cstheme="minorHAnsi"/>
          <w:b/>
          <w:bCs/>
          <w:sz w:val="20"/>
          <w:szCs w:val="20"/>
        </w:rPr>
        <w:t>Methods:</w:t>
      </w:r>
      <w:r>
        <w:rPr>
          <w:rFonts w:cstheme="minorHAnsi"/>
          <w:sz w:val="20"/>
          <w:szCs w:val="20"/>
        </w:rPr>
        <w:t xml:space="preserve"> Between April-June 2025, we enrolled consecutive adults and adolescents (≥12 years) with presumed TB at two outpatient clinics in Kampala, Uganda. Whole blood was collected into PAXgene RNA tubes; TB-SIX and RISK6 testing were performed under blinded conditions by independent operators. Sputum samples underwent Xpert MTB/RIF Ultra and liquid culture. Concordance between TB-SIX and RISK6 was assessed using Pearson and Spearman correlation, Diagnostic accuracy was assessed against a culture-based microbiologic reference standard (MRS) using receiver operating characteristic (ROC) analysis.</w:t>
      </w:r>
    </w:p>
    <w:p w14:paraId="16C17E55" w14:textId="77777777" w:rsidR="00286D1B" w:rsidRDefault="004B1BBD">
      <w:pPr>
        <w:rPr>
          <w:rFonts w:cstheme="minorHAnsi"/>
          <w:sz w:val="20"/>
          <w:szCs w:val="20"/>
        </w:rPr>
      </w:pPr>
      <w:r>
        <w:rPr>
          <w:rFonts w:cstheme="minorHAnsi"/>
          <w:b/>
          <w:bCs/>
          <w:sz w:val="20"/>
          <w:szCs w:val="20"/>
        </w:rPr>
        <w:t>Results:</w:t>
      </w:r>
      <w:r>
        <w:rPr>
          <w:rFonts w:cstheme="minorHAnsi"/>
          <w:sz w:val="20"/>
          <w:szCs w:val="20"/>
        </w:rPr>
        <w:t xml:space="preserve"> Among 101 participants enrolled, mean age was 36.5 years (range: 12–74), 52 (51.5%) were female, 27 (26.7%) were living with HIV, 19 (18.8%) had diabetes, and 30 (29.7%) had culture-confirmed TB. TB-SIX scores correlated strongly with RISK6 (Pearson r=0.95; Spearman ρ=0.96; </w:t>
      </w:r>
      <w:proofErr w:type="gramStart"/>
      <w:r>
        <w:rPr>
          <w:rFonts w:cstheme="minorHAnsi"/>
          <w:sz w:val="20"/>
          <w:szCs w:val="20"/>
        </w:rPr>
        <w:t>both p</w:t>
      </w:r>
      <w:proofErr w:type="gramEnd"/>
      <w:r>
        <w:rPr>
          <w:rFonts w:cstheme="minorHAnsi"/>
          <w:sz w:val="20"/>
          <w:szCs w:val="20"/>
        </w:rPr>
        <w:t>&lt;0.001), confirming assay-level concordance. Among 83 (82.2%) participants with valid MRS results, area under the curve for TB-SIX was 0.91 (95% CI: 0.84–0.97) against MRS and 0.88 (95% CI: 0.81–0.95) against Xpert Ultra. At a cut-point maximizing overall accuracy, TB-SIX showed 96.7% sensitivity (95% CI: 83.3–99.4) and 73.6% specificity (95% CI: 60.4%–83.6%) against MRS, with similar performance against Xpert Ultra.</w:t>
      </w:r>
    </w:p>
    <w:p w14:paraId="181839A7" w14:textId="77777777" w:rsidR="00286D1B" w:rsidRDefault="004B1BBD">
      <w:pPr>
        <w:rPr>
          <w:rFonts w:cstheme="minorHAnsi"/>
          <w:sz w:val="20"/>
          <w:szCs w:val="20"/>
        </w:rPr>
      </w:pPr>
      <w:r>
        <w:rPr>
          <w:rFonts w:cstheme="minorHAnsi"/>
          <w:b/>
          <w:bCs/>
          <w:sz w:val="20"/>
          <w:szCs w:val="20"/>
        </w:rPr>
        <w:t>Conclusions:</w:t>
      </w:r>
      <w:r>
        <w:rPr>
          <w:rFonts w:cstheme="minorHAnsi"/>
          <w:sz w:val="20"/>
          <w:szCs w:val="20"/>
        </w:rPr>
        <w:t xml:space="preserve"> TB-SIX exceeded WHO minimum accuracy targets for a high sensitivity TB screening test and performed equivalently to research-grade RISK6. It offers a more accurate alternative to symptom screening and simpler alternative to chest radiography for identifying individuals who require confirmatory diagnostic testing for TB.</w:t>
      </w:r>
    </w:p>
    <w:sectPr w:rsidR="00286D1B" w:rsidSect="000150A1">
      <w:headerReference w:type="default" r:id="rId48"/>
      <w:footerReference w:type="default" r:id="rId49"/>
      <w:type w:val="continuous"/>
      <w:pgSz w:w="12240" w:h="15840"/>
      <w:pgMar w:top="702" w:right="1440" w:bottom="756"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7CFB715" w14:textId="77777777" w:rsidR="00C15BCF" w:rsidRDefault="00C15BCF" w:rsidP="009E5B6A">
      <w:pPr>
        <w:spacing w:after="0" w:line="240" w:lineRule="auto"/>
      </w:pPr>
      <w:r>
        <w:separator/>
      </w:r>
    </w:p>
  </w:endnote>
  <w:endnote w:type="continuationSeparator" w:id="0">
    <w:p w14:paraId="4DB932CF" w14:textId="77777777" w:rsidR="00C15BCF" w:rsidRDefault="00C15BCF" w:rsidP="009E5B6A">
      <w:pPr>
        <w:spacing w:after="0" w:line="240" w:lineRule="auto"/>
      </w:pPr>
      <w:r>
        <w:continuationSeparator/>
      </w:r>
    </w:p>
  </w:endnote>
  <w:endnote w:type="continuationNotice" w:id="1">
    <w:p w14:paraId="0D9DFCF6" w14:textId="77777777" w:rsidR="00C15BCF" w:rsidRDefault="00C15BC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Next Condensed">
    <w:panose1 w:val="020B0506020202020204"/>
    <w:charset w:val="00"/>
    <w:family w:val="swiss"/>
    <w:pitch w:val="variable"/>
    <w:sig w:usb0="8000002F" w:usb1="5000204A"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libri Light (Headings)">
    <w:altName w:val="Calibri Light"/>
    <w:panose1 w:val="020B0604020202020204"/>
    <w:charset w:val="00"/>
    <w:family w:val="roman"/>
    <w:pitch w:val="default"/>
  </w:font>
  <w:font w:name="Garamond">
    <w:panose1 w:val="02020404030301010803"/>
    <w:charset w:val="00"/>
    <w:family w:val="roman"/>
    <w:pitch w:val="variable"/>
    <w:sig w:usb0="00000287" w:usb1="00000002"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MT">
    <w:altName w:val="Arial"/>
    <w:panose1 w:val="020B0604020202020204"/>
    <w:charset w:val="4D"/>
    <w:family w:val="auto"/>
    <w:notTrueType/>
    <w:pitch w:val="default"/>
    <w:sig w:usb0="00000003" w:usb1="00000000" w:usb2="00000000" w:usb3="00000000" w:csb0="00000001" w:csb1="00000000"/>
  </w:font>
  <w:font w:name="Aptos">
    <w:panose1 w:val="020B0004020202020204"/>
    <w:charset w:val="00"/>
    <w:family w:val="swiss"/>
    <w:pitch w:val="variable"/>
    <w:sig w:usb0="20000287" w:usb1="00000003" w:usb2="00000000" w:usb3="00000000" w:csb0="0000019F" w:csb1="00000000"/>
  </w:font>
  <w:font w:name="Calibri (Body)">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50550109" w14:paraId="36A718A6" w14:textId="77777777" w:rsidTr="50550109">
      <w:trPr>
        <w:trHeight w:val="300"/>
      </w:trPr>
      <w:tc>
        <w:tcPr>
          <w:tcW w:w="3120" w:type="dxa"/>
        </w:tcPr>
        <w:p w14:paraId="191F74C7" w14:textId="77777777" w:rsidR="50550109" w:rsidRDefault="50550109" w:rsidP="50550109">
          <w:pPr>
            <w:pStyle w:val="Header"/>
            <w:ind w:left="-115"/>
          </w:pPr>
        </w:p>
      </w:tc>
      <w:tc>
        <w:tcPr>
          <w:tcW w:w="3120" w:type="dxa"/>
        </w:tcPr>
        <w:p w14:paraId="66CFB29C" w14:textId="77777777" w:rsidR="50550109" w:rsidRDefault="50550109" w:rsidP="50550109">
          <w:pPr>
            <w:pStyle w:val="Header"/>
            <w:jc w:val="center"/>
          </w:pPr>
        </w:p>
      </w:tc>
      <w:tc>
        <w:tcPr>
          <w:tcW w:w="3120" w:type="dxa"/>
        </w:tcPr>
        <w:p w14:paraId="4903ECFA" w14:textId="77777777" w:rsidR="50550109" w:rsidRDefault="50550109" w:rsidP="50550109">
          <w:pPr>
            <w:pStyle w:val="Header"/>
            <w:ind w:right="-115"/>
            <w:jc w:val="right"/>
          </w:pPr>
        </w:p>
      </w:tc>
    </w:tr>
  </w:tbl>
  <w:p w14:paraId="43696C60" w14:textId="77777777" w:rsidR="50550109" w:rsidRDefault="50550109" w:rsidP="505501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50550109" w14:paraId="2EA0A091" w14:textId="77777777" w:rsidTr="50550109">
      <w:trPr>
        <w:trHeight w:val="300"/>
      </w:trPr>
      <w:tc>
        <w:tcPr>
          <w:tcW w:w="3120" w:type="dxa"/>
        </w:tcPr>
        <w:p w14:paraId="08C2758B" w14:textId="77777777" w:rsidR="50550109" w:rsidRDefault="50550109" w:rsidP="50550109">
          <w:pPr>
            <w:pStyle w:val="Header"/>
            <w:ind w:left="-115"/>
          </w:pPr>
        </w:p>
      </w:tc>
      <w:tc>
        <w:tcPr>
          <w:tcW w:w="3120" w:type="dxa"/>
        </w:tcPr>
        <w:p w14:paraId="27240C45" w14:textId="77777777" w:rsidR="50550109" w:rsidRDefault="50550109" w:rsidP="50550109">
          <w:pPr>
            <w:pStyle w:val="Header"/>
            <w:jc w:val="center"/>
          </w:pPr>
        </w:p>
      </w:tc>
      <w:tc>
        <w:tcPr>
          <w:tcW w:w="3120" w:type="dxa"/>
        </w:tcPr>
        <w:p w14:paraId="2CF78471" w14:textId="77777777" w:rsidR="50550109" w:rsidRDefault="50550109" w:rsidP="50550109">
          <w:pPr>
            <w:pStyle w:val="Header"/>
            <w:ind w:right="-115"/>
            <w:jc w:val="right"/>
          </w:pPr>
        </w:p>
      </w:tc>
    </w:tr>
  </w:tbl>
  <w:p w14:paraId="633CB962" w14:textId="77777777" w:rsidR="50550109" w:rsidRDefault="50550109" w:rsidP="505501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74B9CDD" w14:textId="77777777" w:rsidR="00C15BCF" w:rsidRDefault="00C15BCF" w:rsidP="009E5B6A">
      <w:pPr>
        <w:spacing w:after="0" w:line="240" w:lineRule="auto"/>
      </w:pPr>
      <w:r>
        <w:separator/>
      </w:r>
    </w:p>
  </w:footnote>
  <w:footnote w:type="continuationSeparator" w:id="0">
    <w:p w14:paraId="12628028" w14:textId="77777777" w:rsidR="00C15BCF" w:rsidRDefault="00C15BCF" w:rsidP="009E5B6A">
      <w:pPr>
        <w:spacing w:after="0" w:line="240" w:lineRule="auto"/>
      </w:pPr>
      <w:r>
        <w:continuationSeparator/>
      </w:r>
    </w:p>
  </w:footnote>
  <w:footnote w:type="continuationNotice" w:id="1">
    <w:p w14:paraId="60117D46" w14:textId="77777777" w:rsidR="00C15BCF" w:rsidRDefault="00C15BC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33E4744" w14:textId="77777777" w:rsidR="006B11DC" w:rsidRDefault="006B11DC" w:rsidP="000150A1">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5740C32F" w14:textId="77777777" w:rsidR="006B11DC" w:rsidRDefault="006B11DC" w:rsidP="006B11DC">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5B57ECD" w14:textId="77777777" w:rsidR="006B11DC" w:rsidRPr="006B11DC" w:rsidRDefault="006B11DC" w:rsidP="006B11DC">
    <w:pPr>
      <w:pStyle w:val="Header"/>
      <w:ind w:right="360"/>
      <w:rPr>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451A358" w14:textId="77777777" w:rsidR="0089588D" w:rsidRDefault="0089588D" w:rsidP="00D3566F">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AF43EB5" w14:textId="77777777" w:rsidR="0055370A" w:rsidRPr="00333E86" w:rsidRDefault="0055370A" w:rsidP="00EF4395">
    <w:pPr>
      <w:ind w:right="360"/>
    </w:pPr>
    <w:r>
      <w:t>BATS 2023</w:t>
    </w:r>
  </w:p>
  <w:p w14:paraId="67169A7D" w14:textId="77777777" w:rsidR="0055370A" w:rsidRDefault="0055370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sz w:val="18"/>
        <w:szCs w:val="18"/>
      </w:rPr>
      <w:id w:val="511120057"/>
      <w:docPartObj>
        <w:docPartGallery w:val="Page Numbers (Top of Page)"/>
        <w:docPartUnique/>
      </w:docPartObj>
    </w:sdtPr>
    <w:sdtContent>
      <w:p w14:paraId="31D871F8" w14:textId="77777777" w:rsidR="000150A1" w:rsidRPr="000150A1" w:rsidRDefault="000150A1" w:rsidP="00D3566F">
        <w:pPr>
          <w:pStyle w:val="Header"/>
          <w:framePr w:wrap="none" w:vAnchor="text" w:hAnchor="margin" w:xAlign="right" w:y="1"/>
          <w:rPr>
            <w:rStyle w:val="PageNumber"/>
            <w:sz w:val="18"/>
            <w:szCs w:val="18"/>
          </w:rPr>
        </w:pPr>
        <w:r w:rsidRPr="000150A1">
          <w:rPr>
            <w:rStyle w:val="PageNumber"/>
            <w:sz w:val="18"/>
            <w:szCs w:val="18"/>
          </w:rPr>
          <w:fldChar w:fldCharType="begin"/>
        </w:r>
        <w:r w:rsidRPr="000150A1">
          <w:rPr>
            <w:rStyle w:val="PageNumber"/>
            <w:sz w:val="18"/>
            <w:szCs w:val="18"/>
          </w:rPr>
          <w:instrText xml:space="preserve"> PAGE </w:instrText>
        </w:r>
        <w:r w:rsidRPr="000150A1">
          <w:rPr>
            <w:rStyle w:val="PageNumber"/>
            <w:sz w:val="18"/>
            <w:szCs w:val="18"/>
          </w:rPr>
          <w:fldChar w:fldCharType="separate"/>
        </w:r>
        <w:r w:rsidRPr="000150A1">
          <w:rPr>
            <w:rStyle w:val="PageNumber"/>
            <w:noProof/>
            <w:sz w:val="18"/>
            <w:szCs w:val="18"/>
          </w:rPr>
          <w:t>1</w:t>
        </w:r>
        <w:r w:rsidRPr="000150A1">
          <w:rPr>
            <w:rStyle w:val="PageNumber"/>
            <w:sz w:val="18"/>
            <w:szCs w:val="18"/>
          </w:rPr>
          <w:fldChar w:fldCharType="end"/>
        </w:r>
      </w:p>
    </w:sdtContent>
  </w:sdt>
  <w:p w14:paraId="5798F25C" w14:textId="77777777" w:rsidR="000150A1" w:rsidRDefault="000150A1" w:rsidP="006B11DC">
    <w:pPr>
      <w:pStyle w:val="Header"/>
      <w:ind w:right="360"/>
      <w:rPr>
        <w:sz w:val="18"/>
        <w:szCs w:val="18"/>
      </w:rPr>
    </w:pPr>
    <w:r>
      <w:rPr>
        <w:sz w:val="18"/>
        <w:szCs w:val="18"/>
      </w:rPr>
      <w:t>BATS 202</w:t>
    </w:r>
    <w:r w:rsidR="00691E24">
      <w:rPr>
        <w:sz w:val="18"/>
        <w:szCs w:val="18"/>
      </w:rPr>
      <w:t>6</w:t>
    </w:r>
  </w:p>
  <w:p w14:paraId="2196A743" w14:textId="77777777" w:rsidR="000150A1" w:rsidRPr="006B11DC" w:rsidRDefault="000150A1" w:rsidP="006B11DC">
    <w:pPr>
      <w:pStyle w:val="Header"/>
      <w:ind w:right="360"/>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76600E"/>
    <w:multiLevelType w:val="hybridMultilevel"/>
    <w:tmpl w:val="F460BCA8"/>
    <w:lvl w:ilvl="0" w:tplc="66CE899A">
      <w:start w:val="1"/>
      <w:numFmt w:val="decimal"/>
      <w:lvlText w:val="%1."/>
      <w:lvlJc w:val="left"/>
      <w:pPr>
        <w:ind w:left="720" w:hanging="360"/>
      </w:pPr>
      <w:rPr>
        <w:sz w:val="18"/>
      </w:rPr>
    </w:lvl>
    <w:lvl w:ilvl="1" w:tplc="5CE8CAA2" w:tentative="1">
      <w:start w:val="1"/>
      <w:numFmt w:val="lowerLetter"/>
      <w:lvlText w:val="%2."/>
      <w:lvlJc w:val="left"/>
      <w:pPr>
        <w:ind w:left="1440" w:hanging="360"/>
      </w:pPr>
    </w:lvl>
    <w:lvl w:ilvl="2" w:tplc="4F362FF2" w:tentative="1">
      <w:start w:val="1"/>
      <w:numFmt w:val="lowerRoman"/>
      <w:lvlText w:val="%3."/>
      <w:lvlJc w:val="right"/>
      <w:pPr>
        <w:ind w:left="2160" w:hanging="180"/>
      </w:pPr>
    </w:lvl>
    <w:lvl w:ilvl="3" w:tplc="CE1E11C2" w:tentative="1">
      <w:start w:val="1"/>
      <w:numFmt w:val="decimal"/>
      <w:lvlText w:val="%4."/>
      <w:lvlJc w:val="left"/>
      <w:pPr>
        <w:ind w:left="2880" w:hanging="360"/>
      </w:pPr>
    </w:lvl>
    <w:lvl w:ilvl="4" w:tplc="AE244F8A" w:tentative="1">
      <w:start w:val="1"/>
      <w:numFmt w:val="lowerLetter"/>
      <w:lvlText w:val="%5."/>
      <w:lvlJc w:val="left"/>
      <w:pPr>
        <w:ind w:left="3600" w:hanging="360"/>
      </w:pPr>
    </w:lvl>
    <w:lvl w:ilvl="5" w:tplc="F2762078" w:tentative="1">
      <w:start w:val="1"/>
      <w:numFmt w:val="lowerRoman"/>
      <w:lvlText w:val="%6."/>
      <w:lvlJc w:val="right"/>
      <w:pPr>
        <w:ind w:left="4320" w:hanging="180"/>
      </w:pPr>
    </w:lvl>
    <w:lvl w:ilvl="6" w:tplc="07F21CC4" w:tentative="1">
      <w:start w:val="1"/>
      <w:numFmt w:val="decimal"/>
      <w:lvlText w:val="%7."/>
      <w:lvlJc w:val="left"/>
      <w:pPr>
        <w:ind w:left="5040" w:hanging="360"/>
      </w:pPr>
    </w:lvl>
    <w:lvl w:ilvl="7" w:tplc="FC24B80C" w:tentative="1">
      <w:start w:val="1"/>
      <w:numFmt w:val="lowerLetter"/>
      <w:lvlText w:val="%8."/>
      <w:lvlJc w:val="left"/>
      <w:pPr>
        <w:ind w:left="5760" w:hanging="360"/>
      </w:pPr>
    </w:lvl>
    <w:lvl w:ilvl="8" w:tplc="57C0E67E" w:tentative="1">
      <w:start w:val="1"/>
      <w:numFmt w:val="lowerRoman"/>
      <w:lvlText w:val="%9."/>
      <w:lvlJc w:val="right"/>
      <w:pPr>
        <w:ind w:left="6480" w:hanging="180"/>
      </w:pPr>
    </w:lvl>
  </w:abstractNum>
  <w:abstractNum w:abstractNumId="1" w15:restartNumberingAfterBreak="0">
    <w:nsid w:val="07C37B1E"/>
    <w:multiLevelType w:val="hybridMultilevel"/>
    <w:tmpl w:val="D5DE33EC"/>
    <w:lvl w:ilvl="0" w:tplc="60B6B756">
      <w:start w:val="1"/>
      <w:numFmt w:val="decimal"/>
      <w:lvlText w:val="%1."/>
      <w:lvlJc w:val="left"/>
      <w:pPr>
        <w:ind w:left="720" w:hanging="360"/>
      </w:pPr>
      <w:rPr>
        <w:sz w:val="18"/>
        <w:szCs w:val="18"/>
      </w:rPr>
    </w:lvl>
    <w:lvl w:ilvl="1" w:tplc="0A48B960" w:tentative="1">
      <w:start w:val="1"/>
      <w:numFmt w:val="lowerLetter"/>
      <w:lvlText w:val="%2."/>
      <w:lvlJc w:val="left"/>
      <w:pPr>
        <w:ind w:left="1440" w:hanging="360"/>
      </w:pPr>
    </w:lvl>
    <w:lvl w:ilvl="2" w:tplc="2B606B1E" w:tentative="1">
      <w:start w:val="1"/>
      <w:numFmt w:val="lowerRoman"/>
      <w:lvlText w:val="%3."/>
      <w:lvlJc w:val="right"/>
      <w:pPr>
        <w:ind w:left="2160" w:hanging="180"/>
      </w:pPr>
    </w:lvl>
    <w:lvl w:ilvl="3" w:tplc="C8CE17D0" w:tentative="1">
      <w:start w:val="1"/>
      <w:numFmt w:val="decimal"/>
      <w:lvlText w:val="%4."/>
      <w:lvlJc w:val="left"/>
      <w:pPr>
        <w:ind w:left="2880" w:hanging="360"/>
      </w:pPr>
    </w:lvl>
    <w:lvl w:ilvl="4" w:tplc="FB464666" w:tentative="1">
      <w:start w:val="1"/>
      <w:numFmt w:val="lowerLetter"/>
      <w:lvlText w:val="%5."/>
      <w:lvlJc w:val="left"/>
      <w:pPr>
        <w:ind w:left="3600" w:hanging="360"/>
      </w:pPr>
    </w:lvl>
    <w:lvl w:ilvl="5" w:tplc="4C443884" w:tentative="1">
      <w:start w:val="1"/>
      <w:numFmt w:val="lowerRoman"/>
      <w:lvlText w:val="%6."/>
      <w:lvlJc w:val="right"/>
      <w:pPr>
        <w:ind w:left="4320" w:hanging="180"/>
      </w:pPr>
    </w:lvl>
    <w:lvl w:ilvl="6" w:tplc="9A24EC2E" w:tentative="1">
      <w:start w:val="1"/>
      <w:numFmt w:val="decimal"/>
      <w:lvlText w:val="%7."/>
      <w:lvlJc w:val="left"/>
      <w:pPr>
        <w:ind w:left="5040" w:hanging="360"/>
      </w:pPr>
    </w:lvl>
    <w:lvl w:ilvl="7" w:tplc="1DE43964" w:tentative="1">
      <w:start w:val="1"/>
      <w:numFmt w:val="lowerLetter"/>
      <w:lvlText w:val="%8."/>
      <w:lvlJc w:val="left"/>
      <w:pPr>
        <w:ind w:left="5760" w:hanging="360"/>
      </w:pPr>
    </w:lvl>
    <w:lvl w:ilvl="8" w:tplc="31DC284C" w:tentative="1">
      <w:start w:val="1"/>
      <w:numFmt w:val="lowerRoman"/>
      <w:lvlText w:val="%9."/>
      <w:lvlJc w:val="right"/>
      <w:pPr>
        <w:ind w:left="6480" w:hanging="180"/>
      </w:pPr>
    </w:lvl>
  </w:abstractNum>
  <w:abstractNum w:abstractNumId="2" w15:restartNumberingAfterBreak="0">
    <w:nsid w:val="0C710DF1"/>
    <w:multiLevelType w:val="hybridMultilevel"/>
    <w:tmpl w:val="D5DE33EC"/>
    <w:lvl w:ilvl="0" w:tplc="6588A7E0">
      <w:start w:val="1"/>
      <w:numFmt w:val="decimal"/>
      <w:lvlText w:val="%1."/>
      <w:lvlJc w:val="left"/>
      <w:pPr>
        <w:ind w:left="720" w:hanging="360"/>
      </w:pPr>
      <w:rPr>
        <w:sz w:val="18"/>
        <w:szCs w:val="18"/>
      </w:rPr>
    </w:lvl>
    <w:lvl w:ilvl="1" w:tplc="E026C814" w:tentative="1">
      <w:start w:val="1"/>
      <w:numFmt w:val="lowerLetter"/>
      <w:lvlText w:val="%2."/>
      <w:lvlJc w:val="left"/>
      <w:pPr>
        <w:ind w:left="1440" w:hanging="360"/>
      </w:pPr>
    </w:lvl>
    <w:lvl w:ilvl="2" w:tplc="56C06FD0" w:tentative="1">
      <w:start w:val="1"/>
      <w:numFmt w:val="lowerRoman"/>
      <w:lvlText w:val="%3."/>
      <w:lvlJc w:val="right"/>
      <w:pPr>
        <w:ind w:left="2160" w:hanging="180"/>
      </w:pPr>
    </w:lvl>
    <w:lvl w:ilvl="3" w:tplc="E36EAE3E" w:tentative="1">
      <w:start w:val="1"/>
      <w:numFmt w:val="decimal"/>
      <w:lvlText w:val="%4."/>
      <w:lvlJc w:val="left"/>
      <w:pPr>
        <w:ind w:left="2880" w:hanging="360"/>
      </w:pPr>
    </w:lvl>
    <w:lvl w:ilvl="4" w:tplc="2E386408" w:tentative="1">
      <w:start w:val="1"/>
      <w:numFmt w:val="lowerLetter"/>
      <w:lvlText w:val="%5."/>
      <w:lvlJc w:val="left"/>
      <w:pPr>
        <w:ind w:left="3600" w:hanging="360"/>
      </w:pPr>
    </w:lvl>
    <w:lvl w:ilvl="5" w:tplc="1426622A" w:tentative="1">
      <w:start w:val="1"/>
      <w:numFmt w:val="lowerRoman"/>
      <w:lvlText w:val="%6."/>
      <w:lvlJc w:val="right"/>
      <w:pPr>
        <w:ind w:left="4320" w:hanging="180"/>
      </w:pPr>
    </w:lvl>
    <w:lvl w:ilvl="6" w:tplc="5FACC5AC" w:tentative="1">
      <w:start w:val="1"/>
      <w:numFmt w:val="decimal"/>
      <w:lvlText w:val="%7."/>
      <w:lvlJc w:val="left"/>
      <w:pPr>
        <w:ind w:left="5040" w:hanging="360"/>
      </w:pPr>
    </w:lvl>
    <w:lvl w:ilvl="7" w:tplc="D52A6696" w:tentative="1">
      <w:start w:val="1"/>
      <w:numFmt w:val="lowerLetter"/>
      <w:lvlText w:val="%8."/>
      <w:lvlJc w:val="left"/>
      <w:pPr>
        <w:ind w:left="5760" w:hanging="360"/>
      </w:pPr>
    </w:lvl>
    <w:lvl w:ilvl="8" w:tplc="FD703C70" w:tentative="1">
      <w:start w:val="1"/>
      <w:numFmt w:val="lowerRoman"/>
      <w:lvlText w:val="%9."/>
      <w:lvlJc w:val="right"/>
      <w:pPr>
        <w:ind w:left="6480" w:hanging="180"/>
      </w:pPr>
    </w:lvl>
  </w:abstractNum>
  <w:abstractNum w:abstractNumId="3" w15:restartNumberingAfterBreak="0">
    <w:nsid w:val="0F2C398B"/>
    <w:multiLevelType w:val="hybridMultilevel"/>
    <w:tmpl w:val="D5DE33EC"/>
    <w:lvl w:ilvl="0" w:tplc="D096B144">
      <w:start w:val="1"/>
      <w:numFmt w:val="decimal"/>
      <w:lvlText w:val="%1."/>
      <w:lvlJc w:val="left"/>
      <w:pPr>
        <w:ind w:left="1080" w:hanging="360"/>
      </w:pPr>
      <w:rPr>
        <w:sz w:val="18"/>
        <w:szCs w:val="18"/>
      </w:rPr>
    </w:lvl>
    <w:lvl w:ilvl="1" w:tplc="21B6CC86" w:tentative="1">
      <w:start w:val="1"/>
      <w:numFmt w:val="lowerLetter"/>
      <w:lvlText w:val="%2."/>
      <w:lvlJc w:val="left"/>
      <w:pPr>
        <w:ind w:left="1800" w:hanging="360"/>
      </w:pPr>
    </w:lvl>
    <w:lvl w:ilvl="2" w:tplc="CB68DC48" w:tentative="1">
      <w:start w:val="1"/>
      <w:numFmt w:val="lowerRoman"/>
      <w:lvlText w:val="%3."/>
      <w:lvlJc w:val="right"/>
      <w:pPr>
        <w:ind w:left="2520" w:hanging="180"/>
      </w:pPr>
    </w:lvl>
    <w:lvl w:ilvl="3" w:tplc="6602B58E" w:tentative="1">
      <w:start w:val="1"/>
      <w:numFmt w:val="decimal"/>
      <w:lvlText w:val="%4."/>
      <w:lvlJc w:val="left"/>
      <w:pPr>
        <w:ind w:left="3240" w:hanging="360"/>
      </w:pPr>
    </w:lvl>
    <w:lvl w:ilvl="4" w:tplc="9EA0E6D2" w:tentative="1">
      <w:start w:val="1"/>
      <w:numFmt w:val="lowerLetter"/>
      <w:lvlText w:val="%5."/>
      <w:lvlJc w:val="left"/>
      <w:pPr>
        <w:ind w:left="3960" w:hanging="360"/>
      </w:pPr>
    </w:lvl>
    <w:lvl w:ilvl="5" w:tplc="BEFA2A68" w:tentative="1">
      <w:start w:val="1"/>
      <w:numFmt w:val="lowerRoman"/>
      <w:lvlText w:val="%6."/>
      <w:lvlJc w:val="right"/>
      <w:pPr>
        <w:ind w:left="4680" w:hanging="180"/>
      </w:pPr>
    </w:lvl>
    <w:lvl w:ilvl="6" w:tplc="4A5AD850" w:tentative="1">
      <w:start w:val="1"/>
      <w:numFmt w:val="decimal"/>
      <w:lvlText w:val="%7."/>
      <w:lvlJc w:val="left"/>
      <w:pPr>
        <w:ind w:left="5400" w:hanging="360"/>
      </w:pPr>
    </w:lvl>
    <w:lvl w:ilvl="7" w:tplc="1F68444E" w:tentative="1">
      <w:start w:val="1"/>
      <w:numFmt w:val="lowerLetter"/>
      <w:lvlText w:val="%8."/>
      <w:lvlJc w:val="left"/>
      <w:pPr>
        <w:ind w:left="6120" w:hanging="360"/>
      </w:pPr>
    </w:lvl>
    <w:lvl w:ilvl="8" w:tplc="D0446D66" w:tentative="1">
      <w:start w:val="1"/>
      <w:numFmt w:val="lowerRoman"/>
      <w:lvlText w:val="%9."/>
      <w:lvlJc w:val="right"/>
      <w:pPr>
        <w:ind w:left="6840" w:hanging="180"/>
      </w:pPr>
    </w:lvl>
  </w:abstractNum>
  <w:abstractNum w:abstractNumId="4" w15:restartNumberingAfterBreak="0">
    <w:nsid w:val="12450D5A"/>
    <w:multiLevelType w:val="hybridMultilevel"/>
    <w:tmpl w:val="D102F35C"/>
    <w:lvl w:ilvl="0" w:tplc="4418A04A">
      <w:start w:val="1"/>
      <w:numFmt w:val="decimal"/>
      <w:lvlText w:val="%1."/>
      <w:lvlJc w:val="left"/>
      <w:pPr>
        <w:ind w:left="720" w:hanging="360"/>
      </w:pPr>
    </w:lvl>
    <w:lvl w:ilvl="1" w:tplc="DA966E0E" w:tentative="1">
      <w:start w:val="1"/>
      <w:numFmt w:val="lowerLetter"/>
      <w:lvlText w:val="%2."/>
      <w:lvlJc w:val="left"/>
      <w:pPr>
        <w:ind w:left="1440" w:hanging="360"/>
      </w:pPr>
    </w:lvl>
    <w:lvl w:ilvl="2" w:tplc="7DBE8924" w:tentative="1">
      <w:start w:val="1"/>
      <w:numFmt w:val="lowerRoman"/>
      <w:lvlText w:val="%3."/>
      <w:lvlJc w:val="right"/>
      <w:pPr>
        <w:ind w:left="2160" w:hanging="180"/>
      </w:pPr>
    </w:lvl>
    <w:lvl w:ilvl="3" w:tplc="8D78B52A" w:tentative="1">
      <w:start w:val="1"/>
      <w:numFmt w:val="decimal"/>
      <w:lvlText w:val="%4."/>
      <w:lvlJc w:val="left"/>
      <w:pPr>
        <w:ind w:left="2880" w:hanging="360"/>
      </w:pPr>
    </w:lvl>
    <w:lvl w:ilvl="4" w:tplc="96302BB6" w:tentative="1">
      <w:start w:val="1"/>
      <w:numFmt w:val="lowerLetter"/>
      <w:lvlText w:val="%5."/>
      <w:lvlJc w:val="left"/>
      <w:pPr>
        <w:ind w:left="3600" w:hanging="360"/>
      </w:pPr>
    </w:lvl>
    <w:lvl w:ilvl="5" w:tplc="4998C00C" w:tentative="1">
      <w:start w:val="1"/>
      <w:numFmt w:val="lowerRoman"/>
      <w:lvlText w:val="%6."/>
      <w:lvlJc w:val="right"/>
      <w:pPr>
        <w:ind w:left="4320" w:hanging="180"/>
      </w:pPr>
    </w:lvl>
    <w:lvl w:ilvl="6" w:tplc="0C92AB44" w:tentative="1">
      <w:start w:val="1"/>
      <w:numFmt w:val="decimal"/>
      <w:lvlText w:val="%7."/>
      <w:lvlJc w:val="left"/>
      <w:pPr>
        <w:ind w:left="5040" w:hanging="360"/>
      </w:pPr>
    </w:lvl>
    <w:lvl w:ilvl="7" w:tplc="FD60CE82" w:tentative="1">
      <w:start w:val="1"/>
      <w:numFmt w:val="lowerLetter"/>
      <w:lvlText w:val="%8."/>
      <w:lvlJc w:val="left"/>
      <w:pPr>
        <w:ind w:left="5760" w:hanging="360"/>
      </w:pPr>
    </w:lvl>
    <w:lvl w:ilvl="8" w:tplc="E9BE9AFE" w:tentative="1">
      <w:start w:val="1"/>
      <w:numFmt w:val="lowerRoman"/>
      <w:lvlText w:val="%9."/>
      <w:lvlJc w:val="right"/>
      <w:pPr>
        <w:ind w:left="6480" w:hanging="180"/>
      </w:pPr>
    </w:lvl>
  </w:abstractNum>
  <w:abstractNum w:abstractNumId="5" w15:restartNumberingAfterBreak="0">
    <w:nsid w:val="12E20F85"/>
    <w:multiLevelType w:val="hybridMultilevel"/>
    <w:tmpl w:val="D5DE33EC"/>
    <w:lvl w:ilvl="0" w:tplc="DAD4AB96">
      <w:start w:val="1"/>
      <w:numFmt w:val="decimal"/>
      <w:lvlText w:val="%1."/>
      <w:lvlJc w:val="left"/>
      <w:pPr>
        <w:ind w:left="720" w:hanging="360"/>
      </w:pPr>
      <w:rPr>
        <w:sz w:val="18"/>
        <w:szCs w:val="18"/>
      </w:rPr>
    </w:lvl>
    <w:lvl w:ilvl="1" w:tplc="135E7A50" w:tentative="1">
      <w:start w:val="1"/>
      <w:numFmt w:val="lowerLetter"/>
      <w:lvlText w:val="%2."/>
      <w:lvlJc w:val="left"/>
      <w:pPr>
        <w:ind w:left="1440" w:hanging="360"/>
      </w:pPr>
    </w:lvl>
    <w:lvl w:ilvl="2" w:tplc="BF129ACA" w:tentative="1">
      <w:start w:val="1"/>
      <w:numFmt w:val="lowerRoman"/>
      <w:lvlText w:val="%3."/>
      <w:lvlJc w:val="right"/>
      <w:pPr>
        <w:ind w:left="2160" w:hanging="180"/>
      </w:pPr>
    </w:lvl>
    <w:lvl w:ilvl="3" w:tplc="CDC235B0" w:tentative="1">
      <w:start w:val="1"/>
      <w:numFmt w:val="decimal"/>
      <w:lvlText w:val="%4."/>
      <w:lvlJc w:val="left"/>
      <w:pPr>
        <w:ind w:left="2880" w:hanging="360"/>
      </w:pPr>
    </w:lvl>
    <w:lvl w:ilvl="4" w:tplc="153AA2C0" w:tentative="1">
      <w:start w:val="1"/>
      <w:numFmt w:val="lowerLetter"/>
      <w:lvlText w:val="%5."/>
      <w:lvlJc w:val="left"/>
      <w:pPr>
        <w:ind w:left="3600" w:hanging="360"/>
      </w:pPr>
    </w:lvl>
    <w:lvl w:ilvl="5" w:tplc="29A4D654" w:tentative="1">
      <w:start w:val="1"/>
      <w:numFmt w:val="lowerRoman"/>
      <w:lvlText w:val="%6."/>
      <w:lvlJc w:val="right"/>
      <w:pPr>
        <w:ind w:left="4320" w:hanging="180"/>
      </w:pPr>
    </w:lvl>
    <w:lvl w:ilvl="6" w:tplc="E474E26E" w:tentative="1">
      <w:start w:val="1"/>
      <w:numFmt w:val="decimal"/>
      <w:lvlText w:val="%7."/>
      <w:lvlJc w:val="left"/>
      <w:pPr>
        <w:ind w:left="5040" w:hanging="360"/>
      </w:pPr>
    </w:lvl>
    <w:lvl w:ilvl="7" w:tplc="2AC06DDE" w:tentative="1">
      <w:start w:val="1"/>
      <w:numFmt w:val="lowerLetter"/>
      <w:lvlText w:val="%8."/>
      <w:lvlJc w:val="left"/>
      <w:pPr>
        <w:ind w:left="5760" w:hanging="360"/>
      </w:pPr>
    </w:lvl>
    <w:lvl w:ilvl="8" w:tplc="5E240BC2" w:tentative="1">
      <w:start w:val="1"/>
      <w:numFmt w:val="lowerRoman"/>
      <w:lvlText w:val="%9."/>
      <w:lvlJc w:val="right"/>
      <w:pPr>
        <w:ind w:left="6480" w:hanging="180"/>
      </w:pPr>
    </w:lvl>
  </w:abstractNum>
  <w:abstractNum w:abstractNumId="6" w15:restartNumberingAfterBreak="0">
    <w:nsid w:val="14B63B4C"/>
    <w:multiLevelType w:val="hybridMultilevel"/>
    <w:tmpl w:val="D5DE33EC"/>
    <w:lvl w:ilvl="0" w:tplc="B80E79E2">
      <w:start w:val="1"/>
      <w:numFmt w:val="decimal"/>
      <w:lvlText w:val="%1."/>
      <w:lvlJc w:val="left"/>
      <w:pPr>
        <w:ind w:left="720" w:hanging="360"/>
      </w:pPr>
      <w:rPr>
        <w:sz w:val="18"/>
        <w:szCs w:val="18"/>
      </w:rPr>
    </w:lvl>
    <w:lvl w:ilvl="1" w:tplc="35C085C0" w:tentative="1">
      <w:start w:val="1"/>
      <w:numFmt w:val="lowerLetter"/>
      <w:lvlText w:val="%2."/>
      <w:lvlJc w:val="left"/>
      <w:pPr>
        <w:ind w:left="1440" w:hanging="360"/>
      </w:pPr>
    </w:lvl>
    <w:lvl w:ilvl="2" w:tplc="97762D12" w:tentative="1">
      <w:start w:val="1"/>
      <w:numFmt w:val="lowerRoman"/>
      <w:lvlText w:val="%3."/>
      <w:lvlJc w:val="right"/>
      <w:pPr>
        <w:ind w:left="2160" w:hanging="180"/>
      </w:pPr>
    </w:lvl>
    <w:lvl w:ilvl="3" w:tplc="56FC8CA6" w:tentative="1">
      <w:start w:val="1"/>
      <w:numFmt w:val="decimal"/>
      <w:lvlText w:val="%4."/>
      <w:lvlJc w:val="left"/>
      <w:pPr>
        <w:ind w:left="2880" w:hanging="360"/>
      </w:pPr>
    </w:lvl>
    <w:lvl w:ilvl="4" w:tplc="5E4E3AF8" w:tentative="1">
      <w:start w:val="1"/>
      <w:numFmt w:val="lowerLetter"/>
      <w:lvlText w:val="%5."/>
      <w:lvlJc w:val="left"/>
      <w:pPr>
        <w:ind w:left="3600" w:hanging="360"/>
      </w:pPr>
    </w:lvl>
    <w:lvl w:ilvl="5" w:tplc="A96897E2" w:tentative="1">
      <w:start w:val="1"/>
      <w:numFmt w:val="lowerRoman"/>
      <w:lvlText w:val="%6."/>
      <w:lvlJc w:val="right"/>
      <w:pPr>
        <w:ind w:left="4320" w:hanging="180"/>
      </w:pPr>
    </w:lvl>
    <w:lvl w:ilvl="6" w:tplc="53D8E7CC" w:tentative="1">
      <w:start w:val="1"/>
      <w:numFmt w:val="decimal"/>
      <w:lvlText w:val="%7."/>
      <w:lvlJc w:val="left"/>
      <w:pPr>
        <w:ind w:left="5040" w:hanging="360"/>
      </w:pPr>
    </w:lvl>
    <w:lvl w:ilvl="7" w:tplc="37422AC8" w:tentative="1">
      <w:start w:val="1"/>
      <w:numFmt w:val="lowerLetter"/>
      <w:lvlText w:val="%8."/>
      <w:lvlJc w:val="left"/>
      <w:pPr>
        <w:ind w:left="5760" w:hanging="360"/>
      </w:pPr>
    </w:lvl>
    <w:lvl w:ilvl="8" w:tplc="95544B9A" w:tentative="1">
      <w:start w:val="1"/>
      <w:numFmt w:val="lowerRoman"/>
      <w:lvlText w:val="%9."/>
      <w:lvlJc w:val="right"/>
      <w:pPr>
        <w:ind w:left="6480" w:hanging="180"/>
      </w:pPr>
    </w:lvl>
  </w:abstractNum>
  <w:abstractNum w:abstractNumId="7" w15:restartNumberingAfterBreak="0">
    <w:nsid w:val="15202CFE"/>
    <w:multiLevelType w:val="hybridMultilevel"/>
    <w:tmpl w:val="D5DE33EC"/>
    <w:lvl w:ilvl="0" w:tplc="60E0F304">
      <w:start w:val="1"/>
      <w:numFmt w:val="decimal"/>
      <w:lvlText w:val="%1."/>
      <w:lvlJc w:val="left"/>
      <w:pPr>
        <w:ind w:left="720" w:hanging="360"/>
      </w:pPr>
      <w:rPr>
        <w:sz w:val="18"/>
        <w:szCs w:val="18"/>
      </w:rPr>
    </w:lvl>
    <w:lvl w:ilvl="1" w:tplc="610435E8" w:tentative="1">
      <w:start w:val="1"/>
      <w:numFmt w:val="lowerLetter"/>
      <w:lvlText w:val="%2."/>
      <w:lvlJc w:val="left"/>
      <w:pPr>
        <w:ind w:left="1440" w:hanging="360"/>
      </w:pPr>
    </w:lvl>
    <w:lvl w:ilvl="2" w:tplc="8F7AC046" w:tentative="1">
      <w:start w:val="1"/>
      <w:numFmt w:val="lowerRoman"/>
      <w:lvlText w:val="%3."/>
      <w:lvlJc w:val="right"/>
      <w:pPr>
        <w:ind w:left="2160" w:hanging="180"/>
      </w:pPr>
    </w:lvl>
    <w:lvl w:ilvl="3" w:tplc="B4C46698" w:tentative="1">
      <w:start w:val="1"/>
      <w:numFmt w:val="decimal"/>
      <w:lvlText w:val="%4."/>
      <w:lvlJc w:val="left"/>
      <w:pPr>
        <w:ind w:left="2880" w:hanging="360"/>
      </w:pPr>
    </w:lvl>
    <w:lvl w:ilvl="4" w:tplc="2F424862" w:tentative="1">
      <w:start w:val="1"/>
      <w:numFmt w:val="lowerLetter"/>
      <w:lvlText w:val="%5."/>
      <w:lvlJc w:val="left"/>
      <w:pPr>
        <w:ind w:left="3600" w:hanging="360"/>
      </w:pPr>
    </w:lvl>
    <w:lvl w:ilvl="5" w:tplc="37867162" w:tentative="1">
      <w:start w:val="1"/>
      <w:numFmt w:val="lowerRoman"/>
      <w:lvlText w:val="%6."/>
      <w:lvlJc w:val="right"/>
      <w:pPr>
        <w:ind w:left="4320" w:hanging="180"/>
      </w:pPr>
    </w:lvl>
    <w:lvl w:ilvl="6" w:tplc="52E8F7B0" w:tentative="1">
      <w:start w:val="1"/>
      <w:numFmt w:val="decimal"/>
      <w:lvlText w:val="%7."/>
      <w:lvlJc w:val="left"/>
      <w:pPr>
        <w:ind w:left="5040" w:hanging="360"/>
      </w:pPr>
    </w:lvl>
    <w:lvl w:ilvl="7" w:tplc="AB5C55BE" w:tentative="1">
      <w:start w:val="1"/>
      <w:numFmt w:val="lowerLetter"/>
      <w:lvlText w:val="%8."/>
      <w:lvlJc w:val="left"/>
      <w:pPr>
        <w:ind w:left="5760" w:hanging="360"/>
      </w:pPr>
    </w:lvl>
    <w:lvl w:ilvl="8" w:tplc="B78AA39A" w:tentative="1">
      <w:start w:val="1"/>
      <w:numFmt w:val="lowerRoman"/>
      <w:lvlText w:val="%9."/>
      <w:lvlJc w:val="right"/>
      <w:pPr>
        <w:ind w:left="6480" w:hanging="180"/>
      </w:pPr>
    </w:lvl>
  </w:abstractNum>
  <w:abstractNum w:abstractNumId="8" w15:restartNumberingAfterBreak="0">
    <w:nsid w:val="216729B3"/>
    <w:multiLevelType w:val="hybridMultilevel"/>
    <w:tmpl w:val="D5DE33EC"/>
    <w:lvl w:ilvl="0" w:tplc="74E4C16A">
      <w:start w:val="1"/>
      <w:numFmt w:val="decimal"/>
      <w:lvlText w:val="%1."/>
      <w:lvlJc w:val="left"/>
      <w:pPr>
        <w:ind w:left="720" w:hanging="360"/>
      </w:pPr>
      <w:rPr>
        <w:sz w:val="18"/>
        <w:szCs w:val="18"/>
      </w:rPr>
    </w:lvl>
    <w:lvl w:ilvl="1" w:tplc="B54A4470" w:tentative="1">
      <w:start w:val="1"/>
      <w:numFmt w:val="lowerLetter"/>
      <w:lvlText w:val="%2."/>
      <w:lvlJc w:val="left"/>
      <w:pPr>
        <w:ind w:left="1440" w:hanging="360"/>
      </w:pPr>
    </w:lvl>
    <w:lvl w:ilvl="2" w:tplc="0E926596" w:tentative="1">
      <w:start w:val="1"/>
      <w:numFmt w:val="lowerRoman"/>
      <w:lvlText w:val="%3."/>
      <w:lvlJc w:val="right"/>
      <w:pPr>
        <w:ind w:left="2160" w:hanging="180"/>
      </w:pPr>
    </w:lvl>
    <w:lvl w:ilvl="3" w:tplc="A2CE382E" w:tentative="1">
      <w:start w:val="1"/>
      <w:numFmt w:val="decimal"/>
      <w:lvlText w:val="%4."/>
      <w:lvlJc w:val="left"/>
      <w:pPr>
        <w:ind w:left="2880" w:hanging="360"/>
      </w:pPr>
    </w:lvl>
    <w:lvl w:ilvl="4" w:tplc="8C4EF8C4" w:tentative="1">
      <w:start w:val="1"/>
      <w:numFmt w:val="lowerLetter"/>
      <w:lvlText w:val="%5."/>
      <w:lvlJc w:val="left"/>
      <w:pPr>
        <w:ind w:left="3600" w:hanging="360"/>
      </w:pPr>
    </w:lvl>
    <w:lvl w:ilvl="5" w:tplc="1DEC270A" w:tentative="1">
      <w:start w:val="1"/>
      <w:numFmt w:val="lowerRoman"/>
      <w:lvlText w:val="%6."/>
      <w:lvlJc w:val="right"/>
      <w:pPr>
        <w:ind w:left="4320" w:hanging="180"/>
      </w:pPr>
    </w:lvl>
    <w:lvl w:ilvl="6" w:tplc="26A055BC" w:tentative="1">
      <w:start w:val="1"/>
      <w:numFmt w:val="decimal"/>
      <w:lvlText w:val="%7."/>
      <w:lvlJc w:val="left"/>
      <w:pPr>
        <w:ind w:left="5040" w:hanging="360"/>
      </w:pPr>
    </w:lvl>
    <w:lvl w:ilvl="7" w:tplc="7E1801AC" w:tentative="1">
      <w:start w:val="1"/>
      <w:numFmt w:val="lowerLetter"/>
      <w:lvlText w:val="%8."/>
      <w:lvlJc w:val="left"/>
      <w:pPr>
        <w:ind w:left="5760" w:hanging="360"/>
      </w:pPr>
    </w:lvl>
    <w:lvl w:ilvl="8" w:tplc="7738411C" w:tentative="1">
      <w:start w:val="1"/>
      <w:numFmt w:val="lowerRoman"/>
      <w:lvlText w:val="%9."/>
      <w:lvlJc w:val="right"/>
      <w:pPr>
        <w:ind w:left="6480" w:hanging="180"/>
      </w:pPr>
    </w:lvl>
  </w:abstractNum>
  <w:abstractNum w:abstractNumId="9" w15:restartNumberingAfterBreak="0">
    <w:nsid w:val="21685D81"/>
    <w:multiLevelType w:val="hybridMultilevel"/>
    <w:tmpl w:val="09A684EC"/>
    <w:lvl w:ilvl="0" w:tplc="EFFAF690">
      <w:start w:val="1"/>
      <w:numFmt w:val="decimal"/>
      <w:lvlText w:val="%1."/>
      <w:lvlJc w:val="left"/>
      <w:pPr>
        <w:ind w:left="720" w:hanging="360"/>
      </w:pPr>
      <w:rPr>
        <w:sz w:val="18"/>
        <w:szCs w:val="18"/>
      </w:rPr>
    </w:lvl>
    <w:lvl w:ilvl="1" w:tplc="8566046A" w:tentative="1">
      <w:start w:val="1"/>
      <w:numFmt w:val="lowerLetter"/>
      <w:lvlText w:val="%2."/>
      <w:lvlJc w:val="left"/>
      <w:pPr>
        <w:ind w:left="1440" w:hanging="360"/>
      </w:pPr>
    </w:lvl>
    <w:lvl w:ilvl="2" w:tplc="D0FABAE6" w:tentative="1">
      <w:start w:val="1"/>
      <w:numFmt w:val="lowerRoman"/>
      <w:lvlText w:val="%3."/>
      <w:lvlJc w:val="right"/>
      <w:pPr>
        <w:ind w:left="2160" w:hanging="180"/>
      </w:pPr>
    </w:lvl>
    <w:lvl w:ilvl="3" w:tplc="89FC0054" w:tentative="1">
      <w:start w:val="1"/>
      <w:numFmt w:val="decimal"/>
      <w:lvlText w:val="%4."/>
      <w:lvlJc w:val="left"/>
      <w:pPr>
        <w:ind w:left="2880" w:hanging="360"/>
      </w:pPr>
    </w:lvl>
    <w:lvl w:ilvl="4" w:tplc="0760351E" w:tentative="1">
      <w:start w:val="1"/>
      <w:numFmt w:val="lowerLetter"/>
      <w:lvlText w:val="%5."/>
      <w:lvlJc w:val="left"/>
      <w:pPr>
        <w:ind w:left="3600" w:hanging="360"/>
      </w:pPr>
    </w:lvl>
    <w:lvl w:ilvl="5" w:tplc="1D9EBE82" w:tentative="1">
      <w:start w:val="1"/>
      <w:numFmt w:val="lowerRoman"/>
      <w:lvlText w:val="%6."/>
      <w:lvlJc w:val="right"/>
      <w:pPr>
        <w:ind w:left="4320" w:hanging="180"/>
      </w:pPr>
    </w:lvl>
    <w:lvl w:ilvl="6" w:tplc="00B8029A" w:tentative="1">
      <w:start w:val="1"/>
      <w:numFmt w:val="decimal"/>
      <w:lvlText w:val="%7."/>
      <w:lvlJc w:val="left"/>
      <w:pPr>
        <w:ind w:left="5040" w:hanging="360"/>
      </w:pPr>
    </w:lvl>
    <w:lvl w:ilvl="7" w:tplc="177E9F5C" w:tentative="1">
      <w:start w:val="1"/>
      <w:numFmt w:val="lowerLetter"/>
      <w:lvlText w:val="%8."/>
      <w:lvlJc w:val="left"/>
      <w:pPr>
        <w:ind w:left="5760" w:hanging="360"/>
      </w:pPr>
    </w:lvl>
    <w:lvl w:ilvl="8" w:tplc="38BCEBA8" w:tentative="1">
      <w:start w:val="1"/>
      <w:numFmt w:val="lowerRoman"/>
      <w:lvlText w:val="%9."/>
      <w:lvlJc w:val="right"/>
      <w:pPr>
        <w:ind w:left="6480" w:hanging="180"/>
      </w:pPr>
    </w:lvl>
  </w:abstractNum>
  <w:abstractNum w:abstractNumId="10" w15:restartNumberingAfterBreak="0">
    <w:nsid w:val="2431526D"/>
    <w:multiLevelType w:val="hybridMultilevel"/>
    <w:tmpl w:val="B28E70DE"/>
    <w:lvl w:ilvl="0" w:tplc="844273D0">
      <w:start w:val="1"/>
      <w:numFmt w:val="decimal"/>
      <w:lvlText w:val="%1."/>
      <w:lvlJc w:val="left"/>
      <w:pPr>
        <w:ind w:left="720" w:hanging="360"/>
      </w:pPr>
    </w:lvl>
    <w:lvl w:ilvl="1" w:tplc="698EF860">
      <w:start w:val="1"/>
      <w:numFmt w:val="lowerLetter"/>
      <w:lvlText w:val="%2."/>
      <w:lvlJc w:val="left"/>
      <w:pPr>
        <w:ind w:left="1440" w:hanging="360"/>
      </w:pPr>
    </w:lvl>
    <w:lvl w:ilvl="2" w:tplc="2946D70E">
      <w:start w:val="1"/>
      <w:numFmt w:val="lowerRoman"/>
      <w:lvlText w:val="%3."/>
      <w:lvlJc w:val="right"/>
      <w:pPr>
        <w:ind w:left="2160" w:hanging="180"/>
      </w:pPr>
    </w:lvl>
    <w:lvl w:ilvl="3" w:tplc="BD18B996">
      <w:start w:val="1"/>
      <w:numFmt w:val="decimal"/>
      <w:lvlText w:val="%4."/>
      <w:lvlJc w:val="left"/>
      <w:pPr>
        <w:ind w:left="2880" w:hanging="360"/>
      </w:pPr>
    </w:lvl>
    <w:lvl w:ilvl="4" w:tplc="1ED425E8">
      <w:start w:val="1"/>
      <w:numFmt w:val="lowerLetter"/>
      <w:lvlText w:val="%5."/>
      <w:lvlJc w:val="left"/>
      <w:pPr>
        <w:ind w:left="3600" w:hanging="360"/>
      </w:pPr>
    </w:lvl>
    <w:lvl w:ilvl="5" w:tplc="BBD44372">
      <w:start w:val="1"/>
      <w:numFmt w:val="lowerRoman"/>
      <w:lvlText w:val="%6."/>
      <w:lvlJc w:val="right"/>
      <w:pPr>
        <w:ind w:left="4320" w:hanging="180"/>
      </w:pPr>
    </w:lvl>
    <w:lvl w:ilvl="6" w:tplc="C18CB826">
      <w:start w:val="1"/>
      <w:numFmt w:val="decimal"/>
      <w:lvlText w:val="%7."/>
      <w:lvlJc w:val="left"/>
      <w:pPr>
        <w:ind w:left="5040" w:hanging="360"/>
      </w:pPr>
    </w:lvl>
    <w:lvl w:ilvl="7" w:tplc="41FCF356">
      <w:start w:val="1"/>
      <w:numFmt w:val="lowerLetter"/>
      <w:lvlText w:val="%8."/>
      <w:lvlJc w:val="left"/>
      <w:pPr>
        <w:ind w:left="5760" w:hanging="360"/>
      </w:pPr>
    </w:lvl>
    <w:lvl w:ilvl="8" w:tplc="D99A9FAA">
      <w:start w:val="1"/>
      <w:numFmt w:val="lowerRoman"/>
      <w:lvlText w:val="%9."/>
      <w:lvlJc w:val="right"/>
      <w:pPr>
        <w:ind w:left="6480" w:hanging="180"/>
      </w:pPr>
    </w:lvl>
  </w:abstractNum>
  <w:abstractNum w:abstractNumId="11" w15:restartNumberingAfterBreak="0">
    <w:nsid w:val="26971AFE"/>
    <w:multiLevelType w:val="hybridMultilevel"/>
    <w:tmpl w:val="81CCEC14"/>
    <w:lvl w:ilvl="0" w:tplc="6DEEBD3E">
      <w:start w:val="1"/>
      <w:numFmt w:val="decimal"/>
      <w:lvlText w:val="%1."/>
      <w:lvlJc w:val="left"/>
      <w:pPr>
        <w:ind w:left="720" w:hanging="360"/>
      </w:pPr>
    </w:lvl>
    <w:lvl w:ilvl="1" w:tplc="9AB0B9AC" w:tentative="1">
      <w:start w:val="1"/>
      <w:numFmt w:val="lowerLetter"/>
      <w:lvlText w:val="%2."/>
      <w:lvlJc w:val="left"/>
      <w:pPr>
        <w:ind w:left="1440" w:hanging="360"/>
      </w:pPr>
    </w:lvl>
    <w:lvl w:ilvl="2" w:tplc="76041CCE" w:tentative="1">
      <w:start w:val="1"/>
      <w:numFmt w:val="lowerRoman"/>
      <w:lvlText w:val="%3."/>
      <w:lvlJc w:val="right"/>
      <w:pPr>
        <w:ind w:left="2160" w:hanging="180"/>
      </w:pPr>
    </w:lvl>
    <w:lvl w:ilvl="3" w:tplc="8376E114" w:tentative="1">
      <w:start w:val="1"/>
      <w:numFmt w:val="decimal"/>
      <w:lvlText w:val="%4."/>
      <w:lvlJc w:val="left"/>
      <w:pPr>
        <w:ind w:left="2880" w:hanging="360"/>
      </w:pPr>
    </w:lvl>
    <w:lvl w:ilvl="4" w:tplc="3E2CB03A" w:tentative="1">
      <w:start w:val="1"/>
      <w:numFmt w:val="lowerLetter"/>
      <w:lvlText w:val="%5."/>
      <w:lvlJc w:val="left"/>
      <w:pPr>
        <w:ind w:left="3600" w:hanging="360"/>
      </w:pPr>
    </w:lvl>
    <w:lvl w:ilvl="5" w:tplc="470270FC" w:tentative="1">
      <w:start w:val="1"/>
      <w:numFmt w:val="lowerRoman"/>
      <w:lvlText w:val="%6."/>
      <w:lvlJc w:val="right"/>
      <w:pPr>
        <w:ind w:left="4320" w:hanging="180"/>
      </w:pPr>
    </w:lvl>
    <w:lvl w:ilvl="6" w:tplc="D5AE0208" w:tentative="1">
      <w:start w:val="1"/>
      <w:numFmt w:val="decimal"/>
      <w:lvlText w:val="%7."/>
      <w:lvlJc w:val="left"/>
      <w:pPr>
        <w:ind w:left="5040" w:hanging="360"/>
      </w:pPr>
    </w:lvl>
    <w:lvl w:ilvl="7" w:tplc="273A28A2" w:tentative="1">
      <w:start w:val="1"/>
      <w:numFmt w:val="lowerLetter"/>
      <w:lvlText w:val="%8."/>
      <w:lvlJc w:val="left"/>
      <w:pPr>
        <w:ind w:left="5760" w:hanging="360"/>
      </w:pPr>
    </w:lvl>
    <w:lvl w:ilvl="8" w:tplc="43DEEEF8" w:tentative="1">
      <w:start w:val="1"/>
      <w:numFmt w:val="lowerRoman"/>
      <w:lvlText w:val="%9."/>
      <w:lvlJc w:val="right"/>
      <w:pPr>
        <w:ind w:left="6480" w:hanging="180"/>
      </w:pPr>
    </w:lvl>
  </w:abstractNum>
  <w:abstractNum w:abstractNumId="12" w15:restartNumberingAfterBreak="0">
    <w:nsid w:val="2A7032E0"/>
    <w:multiLevelType w:val="hybridMultilevel"/>
    <w:tmpl w:val="D5DE33EC"/>
    <w:lvl w:ilvl="0" w:tplc="291A14DC">
      <w:start w:val="1"/>
      <w:numFmt w:val="decimal"/>
      <w:lvlText w:val="%1."/>
      <w:lvlJc w:val="left"/>
      <w:pPr>
        <w:ind w:left="720" w:hanging="360"/>
      </w:pPr>
      <w:rPr>
        <w:sz w:val="18"/>
        <w:szCs w:val="18"/>
      </w:rPr>
    </w:lvl>
    <w:lvl w:ilvl="1" w:tplc="AFA042EE" w:tentative="1">
      <w:start w:val="1"/>
      <w:numFmt w:val="lowerLetter"/>
      <w:lvlText w:val="%2."/>
      <w:lvlJc w:val="left"/>
      <w:pPr>
        <w:ind w:left="1440" w:hanging="360"/>
      </w:pPr>
    </w:lvl>
    <w:lvl w:ilvl="2" w:tplc="F170FFA2" w:tentative="1">
      <w:start w:val="1"/>
      <w:numFmt w:val="lowerRoman"/>
      <w:lvlText w:val="%3."/>
      <w:lvlJc w:val="right"/>
      <w:pPr>
        <w:ind w:left="2160" w:hanging="180"/>
      </w:pPr>
    </w:lvl>
    <w:lvl w:ilvl="3" w:tplc="6FEE8A42" w:tentative="1">
      <w:start w:val="1"/>
      <w:numFmt w:val="decimal"/>
      <w:lvlText w:val="%4."/>
      <w:lvlJc w:val="left"/>
      <w:pPr>
        <w:ind w:left="2880" w:hanging="360"/>
      </w:pPr>
    </w:lvl>
    <w:lvl w:ilvl="4" w:tplc="943425AE" w:tentative="1">
      <w:start w:val="1"/>
      <w:numFmt w:val="lowerLetter"/>
      <w:lvlText w:val="%5."/>
      <w:lvlJc w:val="left"/>
      <w:pPr>
        <w:ind w:left="3600" w:hanging="360"/>
      </w:pPr>
    </w:lvl>
    <w:lvl w:ilvl="5" w:tplc="FA6A378A" w:tentative="1">
      <w:start w:val="1"/>
      <w:numFmt w:val="lowerRoman"/>
      <w:lvlText w:val="%6."/>
      <w:lvlJc w:val="right"/>
      <w:pPr>
        <w:ind w:left="4320" w:hanging="180"/>
      </w:pPr>
    </w:lvl>
    <w:lvl w:ilvl="6" w:tplc="02F6EEB8" w:tentative="1">
      <w:start w:val="1"/>
      <w:numFmt w:val="decimal"/>
      <w:lvlText w:val="%7."/>
      <w:lvlJc w:val="left"/>
      <w:pPr>
        <w:ind w:left="5040" w:hanging="360"/>
      </w:pPr>
    </w:lvl>
    <w:lvl w:ilvl="7" w:tplc="CFCC52EA" w:tentative="1">
      <w:start w:val="1"/>
      <w:numFmt w:val="lowerLetter"/>
      <w:lvlText w:val="%8."/>
      <w:lvlJc w:val="left"/>
      <w:pPr>
        <w:ind w:left="5760" w:hanging="360"/>
      </w:pPr>
    </w:lvl>
    <w:lvl w:ilvl="8" w:tplc="4B1250BA" w:tentative="1">
      <w:start w:val="1"/>
      <w:numFmt w:val="lowerRoman"/>
      <w:lvlText w:val="%9."/>
      <w:lvlJc w:val="right"/>
      <w:pPr>
        <w:ind w:left="6480" w:hanging="180"/>
      </w:pPr>
    </w:lvl>
  </w:abstractNum>
  <w:abstractNum w:abstractNumId="13" w15:restartNumberingAfterBreak="0">
    <w:nsid w:val="2C434616"/>
    <w:multiLevelType w:val="hybridMultilevel"/>
    <w:tmpl w:val="D5DE33EC"/>
    <w:lvl w:ilvl="0" w:tplc="7862C97C">
      <w:start w:val="1"/>
      <w:numFmt w:val="decimal"/>
      <w:lvlText w:val="%1."/>
      <w:lvlJc w:val="left"/>
      <w:pPr>
        <w:ind w:left="1080" w:hanging="360"/>
      </w:pPr>
      <w:rPr>
        <w:sz w:val="18"/>
        <w:szCs w:val="18"/>
      </w:rPr>
    </w:lvl>
    <w:lvl w:ilvl="1" w:tplc="463A9C48" w:tentative="1">
      <w:start w:val="1"/>
      <w:numFmt w:val="lowerLetter"/>
      <w:lvlText w:val="%2."/>
      <w:lvlJc w:val="left"/>
      <w:pPr>
        <w:ind w:left="1800" w:hanging="360"/>
      </w:pPr>
    </w:lvl>
    <w:lvl w:ilvl="2" w:tplc="24B231C6" w:tentative="1">
      <w:start w:val="1"/>
      <w:numFmt w:val="lowerRoman"/>
      <w:lvlText w:val="%3."/>
      <w:lvlJc w:val="right"/>
      <w:pPr>
        <w:ind w:left="2520" w:hanging="180"/>
      </w:pPr>
    </w:lvl>
    <w:lvl w:ilvl="3" w:tplc="C93C9564" w:tentative="1">
      <w:start w:val="1"/>
      <w:numFmt w:val="decimal"/>
      <w:lvlText w:val="%4."/>
      <w:lvlJc w:val="left"/>
      <w:pPr>
        <w:ind w:left="3240" w:hanging="360"/>
      </w:pPr>
    </w:lvl>
    <w:lvl w:ilvl="4" w:tplc="B6AEE976" w:tentative="1">
      <w:start w:val="1"/>
      <w:numFmt w:val="lowerLetter"/>
      <w:lvlText w:val="%5."/>
      <w:lvlJc w:val="left"/>
      <w:pPr>
        <w:ind w:left="3960" w:hanging="360"/>
      </w:pPr>
    </w:lvl>
    <w:lvl w:ilvl="5" w:tplc="E1760E6A" w:tentative="1">
      <w:start w:val="1"/>
      <w:numFmt w:val="lowerRoman"/>
      <w:lvlText w:val="%6."/>
      <w:lvlJc w:val="right"/>
      <w:pPr>
        <w:ind w:left="4680" w:hanging="180"/>
      </w:pPr>
    </w:lvl>
    <w:lvl w:ilvl="6" w:tplc="7B7A8144" w:tentative="1">
      <w:start w:val="1"/>
      <w:numFmt w:val="decimal"/>
      <w:lvlText w:val="%7."/>
      <w:lvlJc w:val="left"/>
      <w:pPr>
        <w:ind w:left="5400" w:hanging="360"/>
      </w:pPr>
    </w:lvl>
    <w:lvl w:ilvl="7" w:tplc="89863908" w:tentative="1">
      <w:start w:val="1"/>
      <w:numFmt w:val="lowerLetter"/>
      <w:lvlText w:val="%8."/>
      <w:lvlJc w:val="left"/>
      <w:pPr>
        <w:ind w:left="6120" w:hanging="360"/>
      </w:pPr>
    </w:lvl>
    <w:lvl w:ilvl="8" w:tplc="634231AA" w:tentative="1">
      <w:start w:val="1"/>
      <w:numFmt w:val="lowerRoman"/>
      <w:lvlText w:val="%9."/>
      <w:lvlJc w:val="right"/>
      <w:pPr>
        <w:ind w:left="6840" w:hanging="180"/>
      </w:pPr>
    </w:lvl>
  </w:abstractNum>
  <w:abstractNum w:abstractNumId="14" w15:restartNumberingAfterBreak="0">
    <w:nsid w:val="2E4B3A22"/>
    <w:multiLevelType w:val="hybridMultilevel"/>
    <w:tmpl w:val="D5DE33EC"/>
    <w:lvl w:ilvl="0" w:tplc="9A02B3EE">
      <w:start w:val="1"/>
      <w:numFmt w:val="decimal"/>
      <w:lvlText w:val="%1."/>
      <w:lvlJc w:val="left"/>
      <w:pPr>
        <w:ind w:left="720" w:hanging="360"/>
      </w:pPr>
      <w:rPr>
        <w:sz w:val="18"/>
        <w:szCs w:val="18"/>
      </w:rPr>
    </w:lvl>
    <w:lvl w:ilvl="1" w:tplc="5BD4610C" w:tentative="1">
      <w:start w:val="1"/>
      <w:numFmt w:val="lowerLetter"/>
      <w:lvlText w:val="%2."/>
      <w:lvlJc w:val="left"/>
      <w:pPr>
        <w:ind w:left="1440" w:hanging="360"/>
      </w:pPr>
    </w:lvl>
    <w:lvl w:ilvl="2" w:tplc="8DB4D7F0" w:tentative="1">
      <w:start w:val="1"/>
      <w:numFmt w:val="lowerRoman"/>
      <w:lvlText w:val="%3."/>
      <w:lvlJc w:val="right"/>
      <w:pPr>
        <w:ind w:left="2160" w:hanging="180"/>
      </w:pPr>
    </w:lvl>
    <w:lvl w:ilvl="3" w:tplc="C5EC6EBE" w:tentative="1">
      <w:start w:val="1"/>
      <w:numFmt w:val="decimal"/>
      <w:lvlText w:val="%4."/>
      <w:lvlJc w:val="left"/>
      <w:pPr>
        <w:ind w:left="2880" w:hanging="360"/>
      </w:pPr>
    </w:lvl>
    <w:lvl w:ilvl="4" w:tplc="0C463F9C" w:tentative="1">
      <w:start w:val="1"/>
      <w:numFmt w:val="lowerLetter"/>
      <w:lvlText w:val="%5."/>
      <w:lvlJc w:val="left"/>
      <w:pPr>
        <w:ind w:left="3600" w:hanging="360"/>
      </w:pPr>
    </w:lvl>
    <w:lvl w:ilvl="5" w:tplc="CD664188" w:tentative="1">
      <w:start w:val="1"/>
      <w:numFmt w:val="lowerRoman"/>
      <w:lvlText w:val="%6."/>
      <w:lvlJc w:val="right"/>
      <w:pPr>
        <w:ind w:left="4320" w:hanging="180"/>
      </w:pPr>
    </w:lvl>
    <w:lvl w:ilvl="6" w:tplc="5D6C72F2" w:tentative="1">
      <w:start w:val="1"/>
      <w:numFmt w:val="decimal"/>
      <w:lvlText w:val="%7."/>
      <w:lvlJc w:val="left"/>
      <w:pPr>
        <w:ind w:left="5040" w:hanging="360"/>
      </w:pPr>
    </w:lvl>
    <w:lvl w:ilvl="7" w:tplc="4FF27944" w:tentative="1">
      <w:start w:val="1"/>
      <w:numFmt w:val="lowerLetter"/>
      <w:lvlText w:val="%8."/>
      <w:lvlJc w:val="left"/>
      <w:pPr>
        <w:ind w:left="5760" w:hanging="360"/>
      </w:pPr>
    </w:lvl>
    <w:lvl w:ilvl="8" w:tplc="C6FC6CF0" w:tentative="1">
      <w:start w:val="1"/>
      <w:numFmt w:val="lowerRoman"/>
      <w:lvlText w:val="%9."/>
      <w:lvlJc w:val="right"/>
      <w:pPr>
        <w:ind w:left="6480" w:hanging="180"/>
      </w:pPr>
    </w:lvl>
  </w:abstractNum>
  <w:abstractNum w:abstractNumId="15" w15:restartNumberingAfterBreak="0">
    <w:nsid w:val="302235D0"/>
    <w:multiLevelType w:val="hybridMultilevel"/>
    <w:tmpl w:val="7C96FAD0"/>
    <w:lvl w:ilvl="0" w:tplc="9536A1AC">
      <w:start w:val="1"/>
      <w:numFmt w:val="decimal"/>
      <w:lvlText w:val="%1."/>
      <w:lvlJc w:val="left"/>
      <w:pPr>
        <w:ind w:left="720" w:hanging="360"/>
      </w:pPr>
    </w:lvl>
    <w:lvl w:ilvl="1" w:tplc="E570B5AA" w:tentative="1">
      <w:start w:val="1"/>
      <w:numFmt w:val="lowerLetter"/>
      <w:lvlText w:val="%2."/>
      <w:lvlJc w:val="left"/>
      <w:pPr>
        <w:ind w:left="1440" w:hanging="360"/>
      </w:pPr>
    </w:lvl>
    <w:lvl w:ilvl="2" w:tplc="D94230F8" w:tentative="1">
      <w:start w:val="1"/>
      <w:numFmt w:val="lowerRoman"/>
      <w:lvlText w:val="%3."/>
      <w:lvlJc w:val="right"/>
      <w:pPr>
        <w:ind w:left="2160" w:hanging="180"/>
      </w:pPr>
    </w:lvl>
    <w:lvl w:ilvl="3" w:tplc="EF46E5FA" w:tentative="1">
      <w:start w:val="1"/>
      <w:numFmt w:val="decimal"/>
      <w:lvlText w:val="%4."/>
      <w:lvlJc w:val="left"/>
      <w:pPr>
        <w:ind w:left="2880" w:hanging="360"/>
      </w:pPr>
    </w:lvl>
    <w:lvl w:ilvl="4" w:tplc="274AA636" w:tentative="1">
      <w:start w:val="1"/>
      <w:numFmt w:val="lowerLetter"/>
      <w:lvlText w:val="%5."/>
      <w:lvlJc w:val="left"/>
      <w:pPr>
        <w:ind w:left="3600" w:hanging="360"/>
      </w:pPr>
    </w:lvl>
    <w:lvl w:ilvl="5" w:tplc="E886D96A" w:tentative="1">
      <w:start w:val="1"/>
      <w:numFmt w:val="lowerRoman"/>
      <w:lvlText w:val="%6."/>
      <w:lvlJc w:val="right"/>
      <w:pPr>
        <w:ind w:left="4320" w:hanging="180"/>
      </w:pPr>
    </w:lvl>
    <w:lvl w:ilvl="6" w:tplc="44FCCE2A" w:tentative="1">
      <w:start w:val="1"/>
      <w:numFmt w:val="decimal"/>
      <w:lvlText w:val="%7."/>
      <w:lvlJc w:val="left"/>
      <w:pPr>
        <w:ind w:left="5040" w:hanging="360"/>
      </w:pPr>
    </w:lvl>
    <w:lvl w:ilvl="7" w:tplc="BEECF52A" w:tentative="1">
      <w:start w:val="1"/>
      <w:numFmt w:val="lowerLetter"/>
      <w:lvlText w:val="%8."/>
      <w:lvlJc w:val="left"/>
      <w:pPr>
        <w:ind w:left="5760" w:hanging="360"/>
      </w:pPr>
    </w:lvl>
    <w:lvl w:ilvl="8" w:tplc="134E0470" w:tentative="1">
      <w:start w:val="1"/>
      <w:numFmt w:val="lowerRoman"/>
      <w:lvlText w:val="%9."/>
      <w:lvlJc w:val="right"/>
      <w:pPr>
        <w:ind w:left="6480" w:hanging="180"/>
      </w:pPr>
    </w:lvl>
  </w:abstractNum>
  <w:abstractNum w:abstractNumId="16" w15:restartNumberingAfterBreak="0">
    <w:nsid w:val="32B50A69"/>
    <w:multiLevelType w:val="hybridMultilevel"/>
    <w:tmpl w:val="6A0CB0C4"/>
    <w:lvl w:ilvl="0" w:tplc="8C8A1C96">
      <w:start w:val="1"/>
      <w:numFmt w:val="decimal"/>
      <w:lvlText w:val="%1."/>
      <w:lvlJc w:val="left"/>
      <w:pPr>
        <w:ind w:left="360" w:hanging="360"/>
      </w:pPr>
      <w:rPr>
        <w:rFonts w:ascii="Calibri" w:hAnsi="Calibri" w:hint="default"/>
        <w:b w:val="0"/>
        <w:bCs w:val="0"/>
        <w:sz w:val="18"/>
        <w:szCs w:val="18"/>
      </w:rPr>
    </w:lvl>
    <w:lvl w:ilvl="1" w:tplc="1D3E3346">
      <w:start w:val="1"/>
      <w:numFmt w:val="lowerLetter"/>
      <w:lvlText w:val="%2."/>
      <w:lvlJc w:val="left"/>
      <w:pPr>
        <w:ind w:left="1080" w:hanging="360"/>
      </w:pPr>
    </w:lvl>
    <w:lvl w:ilvl="2" w:tplc="65DAB74A">
      <w:start w:val="1"/>
      <w:numFmt w:val="lowerRoman"/>
      <w:lvlText w:val="%3."/>
      <w:lvlJc w:val="right"/>
      <w:pPr>
        <w:ind w:left="1800" w:hanging="180"/>
      </w:pPr>
    </w:lvl>
    <w:lvl w:ilvl="3" w:tplc="325C506C">
      <w:start w:val="1"/>
      <w:numFmt w:val="decimal"/>
      <w:lvlText w:val="%4."/>
      <w:lvlJc w:val="left"/>
      <w:pPr>
        <w:ind w:left="2520" w:hanging="360"/>
      </w:pPr>
    </w:lvl>
    <w:lvl w:ilvl="4" w:tplc="A2401A2C">
      <w:start w:val="1"/>
      <w:numFmt w:val="lowerLetter"/>
      <w:lvlText w:val="%5."/>
      <w:lvlJc w:val="left"/>
      <w:pPr>
        <w:ind w:left="3240" w:hanging="360"/>
      </w:pPr>
    </w:lvl>
    <w:lvl w:ilvl="5" w:tplc="8F50863E">
      <w:start w:val="1"/>
      <w:numFmt w:val="lowerRoman"/>
      <w:lvlText w:val="%6."/>
      <w:lvlJc w:val="right"/>
      <w:pPr>
        <w:ind w:left="3960" w:hanging="180"/>
      </w:pPr>
    </w:lvl>
    <w:lvl w:ilvl="6" w:tplc="5F2E05C6">
      <w:start w:val="1"/>
      <w:numFmt w:val="decimal"/>
      <w:lvlText w:val="%7."/>
      <w:lvlJc w:val="left"/>
      <w:pPr>
        <w:ind w:left="4680" w:hanging="360"/>
      </w:pPr>
    </w:lvl>
    <w:lvl w:ilvl="7" w:tplc="D69217C8">
      <w:start w:val="1"/>
      <w:numFmt w:val="lowerLetter"/>
      <w:lvlText w:val="%8."/>
      <w:lvlJc w:val="left"/>
      <w:pPr>
        <w:ind w:left="5400" w:hanging="360"/>
      </w:pPr>
    </w:lvl>
    <w:lvl w:ilvl="8" w:tplc="B4CA5BB6">
      <w:start w:val="1"/>
      <w:numFmt w:val="lowerRoman"/>
      <w:lvlText w:val="%9."/>
      <w:lvlJc w:val="right"/>
      <w:pPr>
        <w:ind w:left="6120" w:hanging="180"/>
      </w:pPr>
    </w:lvl>
  </w:abstractNum>
  <w:abstractNum w:abstractNumId="17" w15:restartNumberingAfterBreak="0">
    <w:nsid w:val="38BF46B0"/>
    <w:multiLevelType w:val="hybridMultilevel"/>
    <w:tmpl w:val="58E6CF60"/>
    <w:lvl w:ilvl="0" w:tplc="AD2CE708">
      <w:start w:val="1"/>
      <w:numFmt w:val="decimal"/>
      <w:lvlText w:val="%1."/>
      <w:lvlJc w:val="left"/>
      <w:pPr>
        <w:ind w:left="720" w:hanging="360"/>
      </w:pPr>
      <w:rPr>
        <w:sz w:val="18"/>
        <w:szCs w:val="18"/>
      </w:rPr>
    </w:lvl>
    <w:lvl w:ilvl="1" w:tplc="A7ACE792" w:tentative="1">
      <w:start w:val="1"/>
      <w:numFmt w:val="lowerLetter"/>
      <w:lvlText w:val="%2."/>
      <w:lvlJc w:val="left"/>
      <w:pPr>
        <w:ind w:left="1440" w:hanging="360"/>
      </w:pPr>
    </w:lvl>
    <w:lvl w:ilvl="2" w:tplc="4E14D84C" w:tentative="1">
      <w:start w:val="1"/>
      <w:numFmt w:val="lowerRoman"/>
      <w:lvlText w:val="%3."/>
      <w:lvlJc w:val="right"/>
      <w:pPr>
        <w:ind w:left="2160" w:hanging="180"/>
      </w:pPr>
    </w:lvl>
    <w:lvl w:ilvl="3" w:tplc="9E4EB204" w:tentative="1">
      <w:start w:val="1"/>
      <w:numFmt w:val="decimal"/>
      <w:lvlText w:val="%4."/>
      <w:lvlJc w:val="left"/>
      <w:pPr>
        <w:ind w:left="2880" w:hanging="360"/>
      </w:pPr>
    </w:lvl>
    <w:lvl w:ilvl="4" w:tplc="FB466CE4" w:tentative="1">
      <w:start w:val="1"/>
      <w:numFmt w:val="lowerLetter"/>
      <w:lvlText w:val="%5."/>
      <w:lvlJc w:val="left"/>
      <w:pPr>
        <w:ind w:left="3600" w:hanging="360"/>
      </w:pPr>
    </w:lvl>
    <w:lvl w:ilvl="5" w:tplc="F8EACBCC" w:tentative="1">
      <w:start w:val="1"/>
      <w:numFmt w:val="lowerRoman"/>
      <w:lvlText w:val="%6."/>
      <w:lvlJc w:val="right"/>
      <w:pPr>
        <w:ind w:left="4320" w:hanging="180"/>
      </w:pPr>
    </w:lvl>
    <w:lvl w:ilvl="6" w:tplc="D7AEBB0E" w:tentative="1">
      <w:start w:val="1"/>
      <w:numFmt w:val="decimal"/>
      <w:lvlText w:val="%7."/>
      <w:lvlJc w:val="left"/>
      <w:pPr>
        <w:ind w:left="5040" w:hanging="360"/>
      </w:pPr>
    </w:lvl>
    <w:lvl w:ilvl="7" w:tplc="AA5407C2" w:tentative="1">
      <w:start w:val="1"/>
      <w:numFmt w:val="lowerLetter"/>
      <w:lvlText w:val="%8."/>
      <w:lvlJc w:val="left"/>
      <w:pPr>
        <w:ind w:left="5760" w:hanging="360"/>
      </w:pPr>
    </w:lvl>
    <w:lvl w:ilvl="8" w:tplc="196EF7A0" w:tentative="1">
      <w:start w:val="1"/>
      <w:numFmt w:val="lowerRoman"/>
      <w:lvlText w:val="%9."/>
      <w:lvlJc w:val="right"/>
      <w:pPr>
        <w:ind w:left="6480" w:hanging="180"/>
      </w:pPr>
    </w:lvl>
  </w:abstractNum>
  <w:abstractNum w:abstractNumId="18" w15:restartNumberingAfterBreak="0">
    <w:nsid w:val="3D5E794C"/>
    <w:multiLevelType w:val="hybridMultilevel"/>
    <w:tmpl w:val="FF7CED6A"/>
    <w:lvl w:ilvl="0" w:tplc="E94474AE">
      <w:start w:val="1"/>
      <w:numFmt w:val="decimal"/>
      <w:lvlText w:val="%1."/>
      <w:lvlJc w:val="left"/>
      <w:pPr>
        <w:ind w:left="720" w:hanging="360"/>
      </w:pPr>
      <w:rPr>
        <w:sz w:val="18"/>
        <w:szCs w:val="18"/>
      </w:rPr>
    </w:lvl>
    <w:lvl w:ilvl="1" w:tplc="9A36804E" w:tentative="1">
      <w:start w:val="1"/>
      <w:numFmt w:val="lowerLetter"/>
      <w:lvlText w:val="%2."/>
      <w:lvlJc w:val="left"/>
      <w:pPr>
        <w:ind w:left="1440" w:hanging="360"/>
      </w:pPr>
    </w:lvl>
    <w:lvl w:ilvl="2" w:tplc="CF22FA9C" w:tentative="1">
      <w:start w:val="1"/>
      <w:numFmt w:val="lowerRoman"/>
      <w:lvlText w:val="%3."/>
      <w:lvlJc w:val="right"/>
      <w:pPr>
        <w:ind w:left="2160" w:hanging="180"/>
      </w:pPr>
    </w:lvl>
    <w:lvl w:ilvl="3" w:tplc="BB2C020A" w:tentative="1">
      <w:start w:val="1"/>
      <w:numFmt w:val="decimal"/>
      <w:lvlText w:val="%4."/>
      <w:lvlJc w:val="left"/>
      <w:pPr>
        <w:ind w:left="2880" w:hanging="360"/>
      </w:pPr>
    </w:lvl>
    <w:lvl w:ilvl="4" w:tplc="BBA2A714" w:tentative="1">
      <w:start w:val="1"/>
      <w:numFmt w:val="lowerLetter"/>
      <w:lvlText w:val="%5."/>
      <w:lvlJc w:val="left"/>
      <w:pPr>
        <w:ind w:left="3600" w:hanging="360"/>
      </w:pPr>
    </w:lvl>
    <w:lvl w:ilvl="5" w:tplc="48F2FFCC" w:tentative="1">
      <w:start w:val="1"/>
      <w:numFmt w:val="lowerRoman"/>
      <w:lvlText w:val="%6."/>
      <w:lvlJc w:val="right"/>
      <w:pPr>
        <w:ind w:left="4320" w:hanging="180"/>
      </w:pPr>
    </w:lvl>
    <w:lvl w:ilvl="6" w:tplc="BE0C6A64" w:tentative="1">
      <w:start w:val="1"/>
      <w:numFmt w:val="decimal"/>
      <w:lvlText w:val="%7."/>
      <w:lvlJc w:val="left"/>
      <w:pPr>
        <w:ind w:left="5040" w:hanging="360"/>
      </w:pPr>
    </w:lvl>
    <w:lvl w:ilvl="7" w:tplc="0F1852DA" w:tentative="1">
      <w:start w:val="1"/>
      <w:numFmt w:val="lowerLetter"/>
      <w:lvlText w:val="%8."/>
      <w:lvlJc w:val="left"/>
      <w:pPr>
        <w:ind w:left="5760" w:hanging="360"/>
      </w:pPr>
    </w:lvl>
    <w:lvl w:ilvl="8" w:tplc="DF625D68" w:tentative="1">
      <w:start w:val="1"/>
      <w:numFmt w:val="lowerRoman"/>
      <w:lvlText w:val="%9."/>
      <w:lvlJc w:val="right"/>
      <w:pPr>
        <w:ind w:left="6480" w:hanging="180"/>
      </w:pPr>
    </w:lvl>
  </w:abstractNum>
  <w:abstractNum w:abstractNumId="19" w15:restartNumberingAfterBreak="0">
    <w:nsid w:val="4B181535"/>
    <w:multiLevelType w:val="hybridMultilevel"/>
    <w:tmpl w:val="A392C596"/>
    <w:lvl w:ilvl="0" w:tplc="E454211E">
      <w:start w:val="1"/>
      <w:numFmt w:val="decimal"/>
      <w:lvlText w:val="%1."/>
      <w:lvlJc w:val="left"/>
      <w:pPr>
        <w:ind w:left="720" w:hanging="360"/>
      </w:pPr>
    </w:lvl>
    <w:lvl w:ilvl="1" w:tplc="DCD8CB9E" w:tentative="1">
      <w:start w:val="1"/>
      <w:numFmt w:val="lowerLetter"/>
      <w:lvlText w:val="%2."/>
      <w:lvlJc w:val="left"/>
      <w:pPr>
        <w:ind w:left="1440" w:hanging="360"/>
      </w:pPr>
    </w:lvl>
    <w:lvl w:ilvl="2" w:tplc="1AA804FE" w:tentative="1">
      <w:start w:val="1"/>
      <w:numFmt w:val="lowerRoman"/>
      <w:lvlText w:val="%3."/>
      <w:lvlJc w:val="right"/>
      <w:pPr>
        <w:ind w:left="2160" w:hanging="180"/>
      </w:pPr>
    </w:lvl>
    <w:lvl w:ilvl="3" w:tplc="DF0ED5C6" w:tentative="1">
      <w:start w:val="1"/>
      <w:numFmt w:val="decimal"/>
      <w:lvlText w:val="%4."/>
      <w:lvlJc w:val="left"/>
      <w:pPr>
        <w:ind w:left="2880" w:hanging="360"/>
      </w:pPr>
    </w:lvl>
    <w:lvl w:ilvl="4" w:tplc="BE22AA4C" w:tentative="1">
      <w:start w:val="1"/>
      <w:numFmt w:val="lowerLetter"/>
      <w:lvlText w:val="%5."/>
      <w:lvlJc w:val="left"/>
      <w:pPr>
        <w:ind w:left="3600" w:hanging="360"/>
      </w:pPr>
    </w:lvl>
    <w:lvl w:ilvl="5" w:tplc="B5C24AD6" w:tentative="1">
      <w:start w:val="1"/>
      <w:numFmt w:val="lowerRoman"/>
      <w:lvlText w:val="%6."/>
      <w:lvlJc w:val="right"/>
      <w:pPr>
        <w:ind w:left="4320" w:hanging="180"/>
      </w:pPr>
    </w:lvl>
    <w:lvl w:ilvl="6" w:tplc="4C329190" w:tentative="1">
      <w:start w:val="1"/>
      <w:numFmt w:val="decimal"/>
      <w:lvlText w:val="%7."/>
      <w:lvlJc w:val="left"/>
      <w:pPr>
        <w:ind w:left="5040" w:hanging="360"/>
      </w:pPr>
    </w:lvl>
    <w:lvl w:ilvl="7" w:tplc="B6208600" w:tentative="1">
      <w:start w:val="1"/>
      <w:numFmt w:val="lowerLetter"/>
      <w:lvlText w:val="%8."/>
      <w:lvlJc w:val="left"/>
      <w:pPr>
        <w:ind w:left="5760" w:hanging="360"/>
      </w:pPr>
    </w:lvl>
    <w:lvl w:ilvl="8" w:tplc="4D6810C6" w:tentative="1">
      <w:start w:val="1"/>
      <w:numFmt w:val="lowerRoman"/>
      <w:lvlText w:val="%9."/>
      <w:lvlJc w:val="right"/>
      <w:pPr>
        <w:ind w:left="6480" w:hanging="180"/>
      </w:pPr>
    </w:lvl>
  </w:abstractNum>
  <w:abstractNum w:abstractNumId="20" w15:restartNumberingAfterBreak="0">
    <w:nsid w:val="4F3612C5"/>
    <w:multiLevelType w:val="hybridMultilevel"/>
    <w:tmpl w:val="44D06A8E"/>
    <w:lvl w:ilvl="0" w:tplc="6924F0F4">
      <w:start w:val="1"/>
      <w:numFmt w:val="decimal"/>
      <w:lvlText w:val="%1."/>
      <w:lvlJc w:val="left"/>
      <w:pPr>
        <w:ind w:left="360" w:hanging="360"/>
      </w:pPr>
    </w:lvl>
    <w:lvl w:ilvl="1" w:tplc="89A4D104">
      <w:start w:val="1"/>
      <w:numFmt w:val="lowerLetter"/>
      <w:lvlText w:val="%2."/>
      <w:lvlJc w:val="left"/>
      <w:pPr>
        <w:ind w:left="1080" w:hanging="360"/>
      </w:pPr>
    </w:lvl>
    <w:lvl w:ilvl="2" w:tplc="1AFC96CA">
      <w:start w:val="1"/>
      <w:numFmt w:val="lowerRoman"/>
      <w:lvlText w:val="%3."/>
      <w:lvlJc w:val="right"/>
      <w:pPr>
        <w:ind w:left="1800" w:hanging="180"/>
      </w:pPr>
    </w:lvl>
    <w:lvl w:ilvl="3" w:tplc="2C449E34">
      <w:start w:val="1"/>
      <w:numFmt w:val="decimal"/>
      <w:lvlText w:val="%4."/>
      <w:lvlJc w:val="left"/>
      <w:pPr>
        <w:ind w:left="2520" w:hanging="360"/>
      </w:pPr>
    </w:lvl>
    <w:lvl w:ilvl="4" w:tplc="C1AC594C">
      <w:start w:val="1"/>
      <w:numFmt w:val="lowerLetter"/>
      <w:lvlText w:val="%5."/>
      <w:lvlJc w:val="left"/>
      <w:pPr>
        <w:ind w:left="3240" w:hanging="360"/>
      </w:pPr>
    </w:lvl>
    <w:lvl w:ilvl="5" w:tplc="4900FB88">
      <w:start w:val="1"/>
      <w:numFmt w:val="lowerRoman"/>
      <w:lvlText w:val="%6."/>
      <w:lvlJc w:val="right"/>
      <w:pPr>
        <w:ind w:left="3960" w:hanging="180"/>
      </w:pPr>
    </w:lvl>
    <w:lvl w:ilvl="6" w:tplc="236088C6">
      <w:start w:val="1"/>
      <w:numFmt w:val="decimal"/>
      <w:lvlText w:val="%7."/>
      <w:lvlJc w:val="left"/>
      <w:pPr>
        <w:ind w:left="4680" w:hanging="360"/>
      </w:pPr>
    </w:lvl>
    <w:lvl w:ilvl="7" w:tplc="748468B8">
      <w:start w:val="1"/>
      <w:numFmt w:val="lowerLetter"/>
      <w:lvlText w:val="%8."/>
      <w:lvlJc w:val="left"/>
      <w:pPr>
        <w:ind w:left="5400" w:hanging="360"/>
      </w:pPr>
    </w:lvl>
    <w:lvl w:ilvl="8" w:tplc="D8B8AA16">
      <w:start w:val="1"/>
      <w:numFmt w:val="lowerRoman"/>
      <w:lvlText w:val="%9."/>
      <w:lvlJc w:val="right"/>
      <w:pPr>
        <w:ind w:left="6120" w:hanging="180"/>
      </w:pPr>
    </w:lvl>
  </w:abstractNum>
  <w:abstractNum w:abstractNumId="21" w15:restartNumberingAfterBreak="0">
    <w:nsid w:val="5467193D"/>
    <w:multiLevelType w:val="hybridMultilevel"/>
    <w:tmpl w:val="41DC1E4A"/>
    <w:lvl w:ilvl="0" w:tplc="8160DAF4">
      <w:start w:val="1"/>
      <w:numFmt w:val="decimal"/>
      <w:lvlText w:val="%1."/>
      <w:lvlJc w:val="left"/>
      <w:pPr>
        <w:ind w:left="720" w:hanging="360"/>
      </w:pPr>
    </w:lvl>
    <w:lvl w:ilvl="1" w:tplc="41F47EB4">
      <w:start w:val="1"/>
      <w:numFmt w:val="lowerLetter"/>
      <w:lvlText w:val="%2."/>
      <w:lvlJc w:val="left"/>
      <w:pPr>
        <w:ind w:left="1440" w:hanging="360"/>
      </w:pPr>
    </w:lvl>
    <w:lvl w:ilvl="2" w:tplc="2B8AA89A">
      <w:start w:val="1"/>
      <w:numFmt w:val="lowerRoman"/>
      <w:lvlText w:val="%3."/>
      <w:lvlJc w:val="right"/>
      <w:pPr>
        <w:ind w:left="2160" w:hanging="180"/>
      </w:pPr>
    </w:lvl>
    <w:lvl w:ilvl="3" w:tplc="C22C8D80">
      <w:start w:val="1"/>
      <w:numFmt w:val="decimal"/>
      <w:lvlText w:val="%4."/>
      <w:lvlJc w:val="left"/>
      <w:pPr>
        <w:ind w:left="2880" w:hanging="360"/>
      </w:pPr>
    </w:lvl>
    <w:lvl w:ilvl="4" w:tplc="0C30F5EA">
      <w:start w:val="1"/>
      <w:numFmt w:val="lowerLetter"/>
      <w:lvlText w:val="%5."/>
      <w:lvlJc w:val="left"/>
      <w:pPr>
        <w:ind w:left="3600" w:hanging="360"/>
      </w:pPr>
    </w:lvl>
    <w:lvl w:ilvl="5" w:tplc="C5FCEF66">
      <w:start w:val="1"/>
      <w:numFmt w:val="lowerRoman"/>
      <w:lvlText w:val="%6."/>
      <w:lvlJc w:val="right"/>
      <w:pPr>
        <w:ind w:left="4320" w:hanging="180"/>
      </w:pPr>
    </w:lvl>
    <w:lvl w:ilvl="6" w:tplc="C4102570">
      <w:start w:val="1"/>
      <w:numFmt w:val="decimal"/>
      <w:lvlText w:val="%7."/>
      <w:lvlJc w:val="left"/>
      <w:pPr>
        <w:ind w:left="5040" w:hanging="360"/>
      </w:pPr>
    </w:lvl>
    <w:lvl w:ilvl="7" w:tplc="AD54F2EC">
      <w:start w:val="1"/>
      <w:numFmt w:val="lowerLetter"/>
      <w:lvlText w:val="%8."/>
      <w:lvlJc w:val="left"/>
      <w:pPr>
        <w:ind w:left="5760" w:hanging="360"/>
      </w:pPr>
    </w:lvl>
    <w:lvl w:ilvl="8" w:tplc="D0F83E5E">
      <w:start w:val="1"/>
      <w:numFmt w:val="lowerRoman"/>
      <w:lvlText w:val="%9."/>
      <w:lvlJc w:val="right"/>
      <w:pPr>
        <w:ind w:left="6480" w:hanging="180"/>
      </w:pPr>
    </w:lvl>
  </w:abstractNum>
  <w:abstractNum w:abstractNumId="22" w15:restartNumberingAfterBreak="0">
    <w:nsid w:val="657C1C65"/>
    <w:multiLevelType w:val="hybridMultilevel"/>
    <w:tmpl w:val="64602A88"/>
    <w:lvl w:ilvl="0" w:tplc="7688DE44">
      <w:start w:val="1"/>
      <w:numFmt w:val="decimal"/>
      <w:lvlText w:val="%1."/>
      <w:lvlJc w:val="left"/>
      <w:pPr>
        <w:ind w:left="720" w:hanging="360"/>
      </w:pPr>
      <w:rPr>
        <w:sz w:val="18"/>
        <w:szCs w:val="18"/>
      </w:rPr>
    </w:lvl>
    <w:lvl w:ilvl="1" w:tplc="6778EF52" w:tentative="1">
      <w:start w:val="1"/>
      <w:numFmt w:val="lowerLetter"/>
      <w:lvlText w:val="%2."/>
      <w:lvlJc w:val="left"/>
      <w:pPr>
        <w:ind w:left="1440" w:hanging="360"/>
      </w:pPr>
    </w:lvl>
    <w:lvl w:ilvl="2" w:tplc="A5A43754" w:tentative="1">
      <w:start w:val="1"/>
      <w:numFmt w:val="lowerRoman"/>
      <w:lvlText w:val="%3."/>
      <w:lvlJc w:val="right"/>
      <w:pPr>
        <w:ind w:left="2160" w:hanging="180"/>
      </w:pPr>
    </w:lvl>
    <w:lvl w:ilvl="3" w:tplc="FCA63548" w:tentative="1">
      <w:start w:val="1"/>
      <w:numFmt w:val="decimal"/>
      <w:lvlText w:val="%4."/>
      <w:lvlJc w:val="left"/>
      <w:pPr>
        <w:ind w:left="2880" w:hanging="360"/>
      </w:pPr>
    </w:lvl>
    <w:lvl w:ilvl="4" w:tplc="7166F146" w:tentative="1">
      <w:start w:val="1"/>
      <w:numFmt w:val="lowerLetter"/>
      <w:lvlText w:val="%5."/>
      <w:lvlJc w:val="left"/>
      <w:pPr>
        <w:ind w:left="3600" w:hanging="360"/>
      </w:pPr>
    </w:lvl>
    <w:lvl w:ilvl="5" w:tplc="C728FE5C" w:tentative="1">
      <w:start w:val="1"/>
      <w:numFmt w:val="lowerRoman"/>
      <w:lvlText w:val="%6."/>
      <w:lvlJc w:val="right"/>
      <w:pPr>
        <w:ind w:left="4320" w:hanging="180"/>
      </w:pPr>
    </w:lvl>
    <w:lvl w:ilvl="6" w:tplc="9E9688D8" w:tentative="1">
      <w:start w:val="1"/>
      <w:numFmt w:val="decimal"/>
      <w:lvlText w:val="%7."/>
      <w:lvlJc w:val="left"/>
      <w:pPr>
        <w:ind w:left="5040" w:hanging="360"/>
      </w:pPr>
    </w:lvl>
    <w:lvl w:ilvl="7" w:tplc="2862A13C" w:tentative="1">
      <w:start w:val="1"/>
      <w:numFmt w:val="lowerLetter"/>
      <w:lvlText w:val="%8."/>
      <w:lvlJc w:val="left"/>
      <w:pPr>
        <w:ind w:left="5760" w:hanging="360"/>
      </w:pPr>
    </w:lvl>
    <w:lvl w:ilvl="8" w:tplc="E65AB380" w:tentative="1">
      <w:start w:val="1"/>
      <w:numFmt w:val="lowerRoman"/>
      <w:lvlText w:val="%9."/>
      <w:lvlJc w:val="right"/>
      <w:pPr>
        <w:ind w:left="6480" w:hanging="180"/>
      </w:pPr>
    </w:lvl>
  </w:abstractNum>
  <w:abstractNum w:abstractNumId="23" w15:restartNumberingAfterBreak="0">
    <w:nsid w:val="67F57529"/>
    <w:multiLevelType w:val="hybridMultilevel"/>
    <w:tmpl w:val="D5DE33EC"/>
    <w:lvl w:ilvl="0" w:tplc="DF3CBE62">
      <w:start w:val="1"/>
      <w:numFmt w:val="decimal"/>
      <w:lvlText w:val="%1."/>
      <w:lvlJc w:val="left"/>
      <w:pPr>
        <w:ind w:left="720" w:hanging="360"/>
      </w:pPr>
      <w:rPr>
        <w:sz w:val="18"/>
        <w:szCs w:val="18"/>
      </w:rPr>
    </w:lvl>
    <w:lvl w:ilvl="1" w:tplc="3BD6DB3C" w:tentative="1">
      <w:start w:val="1"/>
      <w:numFmt w:val="lowerLetter"/>
      <w:lvlText w:val="%2."/>
      <w:lvlJc w:val="left"/>
      <w:pPr>
        <w:ind w:left="1440" w:hanging="360"/>
      </w:pPr>
    </w:lvl>
    <w:lvl w:ilvl="2" w:tplc="239437C6" w:tentative="1">
      <w:start w:val="1"/>
      <w:numFmt w:val="lowerRoman"/>
      <w:lvlText w:val="%3."/>
      <w:lvlJc w:val="right"/>
      <w:pPr>
        <w:ind w:left="2160" w:hanging="180"/>
      </w:pPr>
    </w:lvl>
    <w:lvl w:ilvl="3" w:tplc="04FCA996" w:tentative="1">
      <w:start w:val="1"/>
      <w:numFmt w:val="decimal"/>
      <w:lvlText w:val="%4."/>
      <w:lvlJc w:val="left"/>
      <w:pPr>
        <w:ind w:left="2880" w:hanging="360"/>
      </w:pPr>
    </w:lvl>
    <w:lvl w:ilvl="4" w:tplc="80F2627C" w:tentative="1">
      <w:start w:val="1"/>
      <w:numFmt w:val="lowerLetter"/>
      <w:lvlText w:val="%5."/>
      <w:lvlJc w:val="left"/>
      <w:pPr>
        <w:ind w:left="3600" w:hanging="360"/>
      </w:pPr>
    </w:lvl>
    <w:lvl w:ilvl="5" w:tplc="B7B06716" w:tentative="1">
      <w:start w:val="1"/>
      <w:numFmt w:val="lowerRoman"/>
      <w:lvlText w:val="%6."/>
      <w:lvlJc w:val="right"/>
      <w:pPr>
        <w:ind w:left="4320" w:hanging="180"/>
      </w:pPr>
    </w:lvl>
    <w:lvl w:ilvl="6" w:tplc="3C9EEFAA" w:tentative="1">
      <w:start w:val="1"/>
      <w:numFmt w:val="decimal"/>
      <w:lvlText w:val="%7."/>
      <w:lvlJc w:val="left"/>
      <w:pPr>
        <w:ind w:left="5040" w:hanging="360"/>
      </w:pPr>
    </w:lvl>
    <w:lvl w:ilvl="7" w:tplc="F6EEA08A" w:tentative="1">
      <w:start w:val="1"/>
      <w:numFmt w:val="lowerLetter"/>
      <w:lvlText w:val="%8."/>
      <w:lvlJc w:val="left"/>
      <w:pPr>
        <w:ind w:left="5760" w:hanging="360"/>
      </w:pPr>
    </w:lvl>
    <w:lvl w:ilvl="8" w:tplc="67B4F41C" w:tentative="1">
      <w:start w:val="1"/>
      <w:numFmt w:val="lowerRoman"/>
      <w:lvlText w:val="%9."/>
      <w:lvlJc w:val="right"/>
      <w:pPr>
        <w:ind w:left="6480" w:hanging="180"/>
      </w:pPr>
    </w:lvl>
  </w:abstractNum>
  <w:abstractNum w:abstractNumId="24" w15:restartNumberingAfterBreak="0">
    <w:nsid w:val="725C0B33"/>
    <w:multiLevelType w:val="hybridMultilevel"/>
    <w:tmpl w:val="D5DE33EC"/>
    <w:lvl w:ilvl="0" w:tplc="C944C68A">
      <w:start w:val="1"/>
      <w:numFmt w:val="decimal"/>
      <w:lvlText w:val="%1."/>
      <w:lvlJc w:val="left"/>
      <w:pPr>
        <w:ind w:left="1080" w:hanging="360"/>
      </w:pPr>
      <w:rPr>
        <w:sz w:val="18"/>
        <w:szCs w:val="18"/>
      </w:rPr>
    </w:lvl>
    <w:lvl w:ilvl="1" w:tplc="4AD41216" w:tentative="1">
      <w:start w:val="1"/>
      <w:numFmt w:val="lowerLetter"/>
      <w:lvlText w:val="%2."/>
      <w:lvlJc w:val="left"/>
      <w:pPr>
        <w:ind w:left="1800" w:hanging="360"/>
      </w:pPr>
    </w:lvl>
    <w:lvl w:ilvl="2" w:tplc="126E6046" w:tentative="1">
      <w:start w:val="1"/>
      <w:numFmt w:val="lowerRoman"/>
      <w:lvlText w:val="%3."/>
      <w:lvlJc w:val="right"/>
      <w:pPr>
        <w:ind w:left="2520" w:hanging="180"/>
      </w:pPr>
    </w:lvl>
    <w:lvl w:ilvl="3" w:tplc="D7E28296" w:tentative="1">
      <w:start w:val="1"/>
      <w:numFmt w:val="decimal"/>
      <w:lvlText w:val="%4."/>
      <w:lvlJc w:val="left"/>
      <w:pPr>
        <w:ind w:left="3240" w:hanging="360"/>
      </w:pPr>
    </w:lvl>
    <w:lvl w:ilvl="4" w:tplc="1ADA8B42" w:tentative="1">
      <w:start w:val="1"/>
      <w:numFmt w:val="lowerLetter"/>
      <w:lvlText w:val="%5."/>
      <w:lvlJc w:val="left"/>
      <w:pPr>
        <w:ind w:left="3960" w:hanging="360"/>
      </w:pPr>
    </w:lvl>
    <w:lvl w:ilvl="5" w:tplc="EFD42C9E" w:tentative="1">
      <w:start w:val="1"/>
      <w:numFmt w:val="lowerRoman"/>
      <w:lvlText w:val="%6."/>
      <w:lvlJc w:val="right"/>
      <w:pPr>
        <w:ind w:left="4680" w:hanging="180"/>
      </w:pPr>
    </w:lvl>
    <w:lvl w:ilvl="6" w:tplc="2EE6A1FA" w:tentative="1">
      <w:start w:val="1"/>
      <w:numFmt w:val="decimal"/>
      <w:lvlText w:val="%7."/>
      <w:lvlJc w:val="left"/>
      <w:pPr>
        <w:ind w:left="5400" w:hanging="360"/>
      </w:pPr>
    </w:lvl>
    <w:lvl w:ilvl="7" w:tplc="5D5CF3F2" w:tentative="1">
      <w:start w:val="1"/>
      <w:numFmt w:val="lowerLetter"/>
      <w:lvlText w:val="%8."/>
      <w:lvlJc w:val="left"/>
      <w:pPr>
        <w:ind w:left="6120" w:hanging="360"/>
      </w:pPr>
    </w:lvl>
    <w:lvl w:ilvl="8" w:tplc="1BC246BA" w:tentative="1">
      <w:start w:val="1"/>
      <w:numFmt w:val="lowerRoman"/>
      <w:lvlText w:val="%9."/>
      <w:lvlJc w:val="right"/>
      <w:pPr>
        <w:ind w:left="6840" w:hanging="180"/>
      </w:pPr>
    </w:lvl>
  </w:abstractNum>
  <w:abstractNum w:abstractNumId="25" w15:restartNumberingAfterBreak="0">
    <w:nsid w:val="7D6E4A53"/>
    <w:multiLevelType w:val="hybridMultilevel"/>
    <w:tmpl w:val="D5DE33EC"/>
    <w:lvl w:ilvl="0" w:tplc="04BA9354">
      <w:start w:val="1"/>
      <w:numFmt w:val="decimal"/>
      <w:lvlText w:val="%1."/>
      <w:lvlJc w:val="left"/>
      <w:pPr>
        <w:ind w:left="720" w:hanging="360"/>
      </w:pPr>
      <w:rPr>
        <w:sz w:val="18"/>
        <w:szCs w:val="18"/>
      </w:rPr>
    </w:lvl>
    <w:lvl w:ilvl="1" w:tplc="64E045A2" w:tentative="1">
      <w:start w:val="1"/>
      <w:numFmt w:val="lowerLetter"/>
      <w:lvlText w:val="%2."/>
      <w:lvlJc w:val="left"/>
      <w:pPr>
        <w:ind w:left="1440" w:hanging="360"/>
      </w:pPr>
    </w:lvl>
    <w:lvl w:ilvl="2" w:tplc="CF743812" w:tentative="1">
      <w:start w:val="1"/>
      <w:numFmt w:val="lowerRoman"/>
      <w:lvlText w:val="%3."/>
      <w:lvlJc w:val="right"/>
      <w:pPr>
        <w:ind w:left="2160" w:hanging="180"/>
      </w:pPr>
    </w:lvl>
    <w:lvl w:ilvl="3" w:tplc="7DA0C942" w:tentative="1">
      <w:start w:val="1"/>
      <w:numFmt w:val="decimal"/>
      <w:lvlText w:val="%4."/>
      <w:lvlJc w:val="left"/>
      <w:pPr>
        <w:ind w:left="2880" w:hanging="360"/>
      </w:pPr>
    </w:lvl>
    <w:lvl w:ilvl="4" w:tplc="950EACC4" w:tentative="1">
      <w:start w:val="1"/>
      <w:numFmt w:val="lowerLetter"/>
      <w:lvlText w:val="%5."/>
      <w:lvlJc w:val="left"/>
      <w:pPr>
        <w:ind w:left="3600" w:hanging="360"/>
      </w:pPr>
    </w:lvl>
    <w:lvl w:ilvl="5" w:tplc="54082618" w:tentative="1">
      <w:start w:val="1"/>
      <w:numFmt w:val="lowerRoman"/>
      <w:lvlText w:val="%6."/>
      <w:lvlJc w:val="right"/>
      <w:pPr>
        <w:ind w:left="4320" w:hanging="180"/>
      </w:pPr>
    </w:lvl>
    <w:lvl w:ilvl="6" w:tplc="AE488C58" w:tentative="1">
      <w:start w:val="1"/>
      <w:numFmt w:val="decimal"/>
      <w:lvlText w:val="%7."/>
      <w:lvlJc w:val="left"/>
      <w:pPr>
        <w:ind w:left="5040" w:hanging="360"/>
      </w:pPr>
    </w:lvl>
    <w:lvl w:ilvl="7" w:tplc="B1708E28" w:tentative="1">
      <w:start w:val="1"/>
      <w:numFmt w:val="lowerLetter"/>
      <w:lvlText w:val="%8."/>
      <w:lvlJc w:val="left"/>
      <w:pPr>
        <w:ind w:left="5760" w:hanging="360"/>
      </w:pPr>
    </w:lvl>
    <w:lvl w:ilvl="8" w:tplc="2548971C" w:tentative="1">
      <w:start w:val="1"/>
      <w:numFmt w:val="lowerRoman"/>
      <w:lvlText w:val="%9."/>
      <w:lvlJc w:val="right"/>
      <w:pPr>
        <w:ind w:left="6480" w:hanging="180"/>
      </w:pPr>
    </w:lvl>
  </w:abstractNum>
  <w:abstractNum w:abstractNumId="26" w15:restartNumberingAfterBreak="0">
    <w:nsid w:val="7E9167A5"/>
    <w:multiLevelType w:val="hybridMultilevel"/>
    <w:tmpl w:val="D5DE33EC"/>
    <w:lvl w:ilvl="0" w:tplc="6EA8AC4E">
      <w:start w:val="1"/>
      <w:numFmt w:val="decimal"/>
      <w:lvlText w:val="%1."/>
      <w:lvlJc w:val="left"/>
      <w:pPr>
        <w:ind w:left="720" w:hanging="360"/>
      </w:pPr>
      <w:rPr>
        <w:sz w:val="18"/>
        <w:szCs w:val="18"/>
      </w:rPr>
    </w:lvl>
    <w:lvl w:ilvl="1" w:tplc="9A9A9484" w:tentative="1">
      <w:start w:val="1"/>
      <w:numFmt w:val="lowerLetter"/>
      <w:lvlText w:val="%2."/>
      <w:lvlJc w:val="left"/>
      <w:pPr>
        <w:ind w:left="1440" w:hanging="360"/>
      </w:pPr>
    </w:lvl>
    <w:lvl w:ilvl="2" w:tplc="00C27156" w:tentative="1">
      <w:start w:val="1"/>
      <w:numFmt w:val="lowerRoman"/>
      <w:lvlText w:val="%3."/>
      <w:lvlJc w:val="right"/>
      <w:pPr>
        <w:ind w:left="2160" w:hanging="180"/>
      </w:pPr>
    </w:lvl>
    <w:lvl w:ilvl="3" w:tplc="71B807C8" w:tentative="1">
      <w:start w:val="1"/>
      <w:numFmt w:val="decimal"/>
      <w:lvlText w:val="%4."/>
      <w:lvlJc w:val="left"/>
      <w:pPr>
        <w:ind w:left="2880" w:hanging="360"/>
      </w:pPr>
    </w:lvl>
    <w:lvl w:ilvl="4" w:tplc="0804EF6A" w:tentative="1">
      <w:start w:val="1"/>
      <w:numFmt w:val="lowerLetter"/>
      <w:lvlText w:val="%5."/>
      <w:lvlJc w:val="left"/>
      <w:pPr>
        <w:ind w:left="3600" w:hanging="360"/>
      </w:pPr>
    </w:lvl>
    <w:lvl w:ilvl="5" w:tplc="6CF67C76" w:tentative="1">
      <w:start w:val="1"/>
      <w:numFmt w:val="lowerRoman"/>
      <w:lvlText w:val="%6."/>
      <w:lvlJc w:val="right"/>
      <w:pPr>
        <w:ind w:left="4320" w:hanging="180"/>
      </w:pPr>
    </w:lvl>
    <w:lvl w:ilvl="6" w:tplc="247641A6" w:tentative="1">
      <w:start w:val="1"/>
      <w:numFmt w:val="decimal"/>
      <w:lvlText w:val="%7."/>
      <w:lvlJc w:val="left"/>
      <w:pPr>
        <w:ind w:left="5040" w:hanging="360"/>
      </w:pPr>
    </w:lvl>
    <w:lvl w:ilvl="7" w:tplc="05525776" w:tentative="1">
      <w:start w:val="1"/>
      <w:numFmt w:val="lowerLetter"/>
      <w:lvlText w:val="%8."/>
      <w:lvlJc w:val="left"/>
      <w:pPr>
        <w:ind w:left="5760" w:hanging="360"/>
      </w:pPr>
    </w:lvl>
    <w:lvl w:ilvl="8" w:tplc="E2162986" w:tentative="1">
      <w:start w:val="1"/>
      <w:numFmt w:val="lowerRoman"/>
      <w:lvlText w:val="%9."/>
      <w:lvlJc w:val="right"/>
      <w:pPr>
        <w:ind w:left="6480" w:hanging="180"/>
      </w:pPr>
    </w:lvl>
  </w:abstractNum>
  <w:num w:numId="1" w16cid:durableId="831678212">
    <w:abstractNumId w:val="10"/>
  </w:num>
  <w:num w:numId="2" w16cid:durableId="556012738">
    <w:abstractNumId w:val="21"/>
  </w:num>
  <w:num w:numId="3" w16cid:durableId="355082769">
    <w:abstractNumId w:val="16"/>
  </w:num>
  <w:num w:numId="4" w16cid:durableId="814833106">
    <w:abstractNumId w:val="20"/>
  </w:num>
  <w:num w:numId="5" w16cid:durableId="2031956763">
    <w:abstractNumId w:val="15"/>
  </w:num>
  <w:num w:numId="6" w16cid:durableId="2051763801">
    <w:abstractNumId w:val="0"/>
  </w:num>
  <w:num w:numId="7" w16cid:durableId="948387672">
    <w:abstractNumId w:val="9"/>
  </w:num>
  <w:num w:numId="8" w16cid:durableId="1906379806">
    <w:abstractNumId w:val="17"/>
  </w:num>
  <w:num w:numId="9" w16cid:durableId="280309587">
    <w:abstractNumId w:val="18"/>
  </w:num>
  <w:num w:numId="10" w16cid:durableId="1869365840">
    <w:abstractNumId w:val="11"/>
  </w:num>
  <w:num w:numId="11" w16cid:durableId="2103599528">
    <w:abstractNumId w:val="22"/>
  </w:num>
  <w:num w:numId="12" w16cid:durableId="1411386703">
    <w:abstractNumId w:val="19"/>
  </w:num>
  <w:num w:numId="13" w16cid:durableId="339161330">
    <w:abstractNumId w:val="4"/>
  </w:num>
  <w:num w:numId="14" w16cid:durableId="685595591">
    <w:abstractNumId w:val="6"/>
  </w:num>
  <w:num w:numId="15" w16cid:durableId="2031829119">
    <w:abstractNumId w:val="13"/>
  </w:num>
  <w:num w:numId="16" w16cid:durableId="551307570">
    <w:abstractNumId w:val="25"/>
  </w:num>
  <w:num w:numId="17" w16cid:durableId="1570842314">
    <w:abstractNumId w:val="24"/>
  </w:num>
  <w:num w:numId="18" w16cid:durableId="1228297010">
    <w:abstractNumId w:val="3"/>
  </w:num>
  <w:num w:numId="19" w16cid:durableId="21714219">
    <w:abstractNumId w:val="26"/>
  </w:num>
  <w:num w:numId="20" w16cid:durableId="1673990032">
    <w:abstractNumId w:val="14"/>
  </w:num>
  <w:num w:numId="21" w16cid:durableId="1908761035">
    <w:abstractNumId w:val="12"/>
  </w:num>
  <w:num w:numId="22" w16cid:durableId="224684037">
    <w:abstractNumId w:val="1"/>
  </w:num>
  <w:num w:numId="23" w16cid:durableId="594241671">
    <w:abstractNumId w:val="5"/>
  </w:num>
  <w:num w:numId="24" w16cid:durableId="1111709615">
    <w:abstractNumId w:val="7"/>
  </w:num>
  <w:num w:numId="25" w16cid:durableId="244190249">
    <w:abstractNumId w:val="2"/>
  </w:num>
  <w:num w:numId="26" w16cid:durableId="1694186890">
    <w:abstractNumId w:val="8"/>
  </w:num>
  <w:num w:numId="27" w16cid:durableId="1890527939">
    <w:abstractNumId w:val="23"/>
  </w:num>
  <w:numIdMacAtCleanup w:val="27"/>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345"/>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ABA97D9"/>
    <w:rsid w:val="000020C7"/>
    <w:rsid w:val="0000230A"/>
    <w:rsid w:val="00002A1D"/>
    <w:rsid w:val="00003801"/>
    <w:rsid w:val="00004EB9"/>
    <w:rsid w:val="00007FE3"/>
    <w:rsid w:val="0001187E"/>
    <w:rsid w:val="00011CEC"/>
    <w:rsid w:val="00014A90"/>
    <w:rsid w:val="00014C91"/>
    <w:rsid w:val="000150A1"/>
    <w:rsid w:val="00020CB2"/>
    <w:rsid w:val="00021CD8"/>
    <w:rsid w:val="00030061"/>
    <w:rsid w:val="00031191"/>
    <w:rsid w:val="000317D7"/>
    <w:rsid w:val="0003393B"/>
    <w:rsid w:val="00034F17"/>
    <w:rsid w:val="000372EB"/>
    <w:rsid w:val="00042584"/>
    <w:rsid w:val="00042E8D"/>
    <w:rsid w:val="000432CD"/>
    <w:rsid w:val="00043E78"/>
    <w:rsid w:val="00046966"/>
    <w:rsid w:val="00046CB5"/>
    <w:rsid w:val="00046DA4"/>
    <w:rsid w:val="00047B03"/>
    <w:rsid w:val="000500B3"/>
    <w:rsid w:val="00051D7E"/>
    <w:rsid w:val="00051F38"/>
    <w:rsid w:val="00052E26"/>
    <w:rsid w:val="00054C46"/>
    <w:rsid w:val="00055352"/>
    <w:rsid w:val="000578E4"/>
    <w:rsid w:val="00060447"/>
    <w:rsid w:val="00062811"/>
    <w:rsid w:val="00063E34"/>
    <w:rsid w:val="00070A9D"/>
    <w:rsid w:val="000713B4"/>
    <w:rsid w:val="0008222C"/>
    <w:rsid w:val="00082B12"/>
    <w:rsid w:val="000834B0"/>
    <w:rsid w:val="00086597"/>
    <w:rsid w:val="000920B9"/>
    <w:rsid w:val="0009365B"/>
    <w:rsid w:val="00094027"/>
    <w:rsid w:val="00094278"/>
    <w:rsid w:val="00095709"/>
    <w:rsid w:val="00096417"/>
    <w:rsid w:val="000970B5"/>
    <w:rsid w:val="000A0381"/>
    <w:rsid w:val="000A40C4"/>
    <w:rsid w:val="000B1BFA"/>
    <w:rsid w:val="000B2F4B"/>
    <w:rsid w:val="000B404A"/>
    <w:rsid w:val="000B4608"/>
    <w:rsid w:val="000C05FA"/>
    <w:rsid w:val="000C2527"/>
    <w:rsid w:val="000C29DC"/>
    <w:rsid w:val="000C3327"/>
    <w:rsid w:val="000C4FB4"/>
    <w:rsid w:val="000C700E"/>
    <w:rsid w:val="000D0A8B"/>
    <w:rsid w:val="000D18CC"/>
    <w:rsid w:val="000D31C1"/>
    <w:rsid w:val="000D32AC"/>
    <w:rsid w:val="000D5F31"/>
    <w:rsid w:val="000D5F7A"/>
    <w:rsid w:val="000D7042"/>
    <w:rsid w:val="000D7B5D"/>
    <w:rsid w:val="000D7D1B"/>
    <w:rsid w:val="000E1481"/>
    <w:rsid w:val="000E2B4C"/>
    <w:rsid w:val="000E363F"/>
    <w:rsid w:val="000E3AF9"/>
    <w:rsid w:val="000E4372"/>
    <w:rsid w:val="000E5080"/>
    <w:rsid w:val="000E630B"/>
    <w:rsid w:val="000F044E"/>
    <w:rsid w:val="000F22D5"/>
    <w:rsid w:val="000F307E"/>
    <w:rsid w:val="00104F81"/>
    <w:rsid w:val="00106412"/>
    <w:rsid w:val="00110688"/>
    <w:rsid w:val="0011412D"/>
    <w:rsid w:val="0011522E"/>
    <w:rsid w:val="0011708C"/>
    <w:rsid w:val="00121512"/>
    <w:rsid w:val="00122C1F"/>
    <w:rsid w:val="00123293"/>
    <w:rsid w:val="0012488B"/>
    <w:rsid w:val="00125370"/>
    <w:rsid w:val="00126D5F"/>
    <w:rsid w:val="00131E1D"/>
    <w:rsid w:val="00133E48"/>
    <w:rsid w:val="0014064B"/>
    <w:rsid w:val="001418E3"/>
    <w:rsid w:val="00142985"/>
    <w:rsid w:val="0014691C"/>
    <w:rsid w:val="001475A6"/>
    <w:rsid w:val="00147655"/>
    <w:rsid w:val="00147763"/>
    <w:rsid w:val="001507A7"/>
    <w:rsid w:val="00152692"/>
    <w:rsid w:val="00154D87"/>
    <w:rsid w:val="0015612A"/>
    <w:rsid w:val="00160EC5"/>
    <w:rsid w:val="00161F22"/>
    <w:rsid w:val="001634B5"/>
    <w:rsid w:val="001642E5"/>
    <w:rsid w:val="00165489"/>
    <w:rsid w:val="0016588B"/>
    <w:rsid w:val="00165CE0"/>
    <w:rsid w:val="0016783F"/>
    <w:rsid w:val="0018421D"/>
    <w:rsid w:val="001846DA"/>
    <w:rsid w:val="001854EA"/>
    <w:rsid w:val="00186395"/>
    <w:rsid w:val="00192A8B"/>
    <w:rsid w:val="00192FAB"/>
    <w:rsid w:val="001942A3"/>
    <w:rsid w:val="00194A69"/>
    <w:rsid w:val="0019577B"/>
    <w:rsid w:val="001957DE"/>
    <w:rsid w:val="0019738D"/>
    <w:rsid w:val="0019757E"/>
    <w:rsid w:val="001A0352"/>
    <w:rsid w:val="001A306D"/>
    <w:rsid w:val="001A4B80"/>
    <w:rsid w:val="001A5A1A"/>
    <w:rsid w:val="001A6340"/>
    <w:rsid w:val="001A7FB4"/>
    <w:rsid w:val="001B12CA"/>
    <w:rsid w:val="001B1BFB"/>
    <w:rsid w:val="001B3550"/>
    <w:rsid w:val="001B7109"/>
    <w:rsid w:val="001B75EE"/>
    <w:rsid w:val="001C0DCB"/>
    <w:rsid w:val="001C65F6"/>
    <w:rsid w:val="001D7B38"/>
    <w:rsid w:val="001E008D"/>
    <w:rsid w:val="001E0531"/>
    <w:rsid w:val="001E17D6"/>
    <w:rsid w:val="001E21E3"/>
    <w:rsid w:val="001E566B"/>
    <w:rsid w:val="001E632D"/>
    <w:rsid w:val="001E7BCB"/>
    <w:rsid w:val="001F223E"/>
    <w:rsid w:val="001F646D"/>
    <w:rsid w:val="00201871"/>
    <w:rsid w:val="0020399C"/>
    <w:rsid w:val="00203D18"/>
    <w:rsid w:val="00204C54"/>
    <w:rsid w:val="00211030"/>
    <w:rsid w:val="0021433C"/>
    <w:rsid w:val="0021492C"/>
    <w:rsid w:val="00216FA2"/>
    <w:rsid w:val="00221C33"/>
    <w:rsid w:val="00226A60"/>
    <w:rsid w:val="0023434F"/>
    <w:rsid w:val="002377FD"/>
    <w:rsid w:val="00240B5A"/>
    <w:rsid w:val="00243B3E"/>
    <w:rsid w:val="00245177"/>
    <w:rsid w:val="002459F4"/>
    <w:rsid w:val="00246A4B"/>
    <w:rsid w:val="00247121"/>
    <w:rsid w:val="0025422B"/>
    <w:rsid w:val="00256C00"/>
    <w:rsid w:val="0026067F"/>
    <w:rsid w:val="00260E61"/>
    <w:rsid w:val="002661CB"/>
    <w:rsid w:val="00266BA6"/>
    <w:rsid w:val="00267645"/>
    <w:rsid w:val="00274B27"/>
    <w:rsid w:val="00275306"/>
    <w:rsid w:val="00277D3D"/>
    <w:rsid w:val="0028138B"/>
    <w:rsid w:val="00286D1B"/>
    <w:rsid w:val="00287347"/>
    <w:rsid w:val="0029099E"/>
    <w:rsid w:val="00295E7D"/>
    <w:rsid w:val="00296171"/>
    <w:rsid w:val="00296F38"/>
    <w:rsid w:val="00297759"/>
    <w:rsid w:val="00297B98"/>
    <w:rsid w:val="002A0E5D"/>
    <w:rsid w:val="002A2CCB"/>
    <w:rsid w:val="002A6DA4"/>
    <w:rsid w:val="002A7184"/>
    <w:rsid w:val="002B0A82"/>
    <w:rsid w:val="002B13A3"/>
    <w:rsid w:val="002C3DDB"/>
    <w:rsid w:val="002C50EC"/>
    <w:rsid w:val="002D09C5"/>
    <w:rsid w:val="002D572D"/>
    <w:rsid w:val="002D58DA"/>
    <w:rsid w:val="002D5A42"/>
    <w:rsid w:val="002D7D71"/>
    <w:rsid w:val="002E08B4"/>
    <w:rsid w:val="002E2F28"/>
    <w:rsid w:val="002E5A73"/>
    <w:rsid w:val="002E676E"/>
    <w:rsid w:val="002E78EC"/>
    <w:rsid w:val="002F02BC"/>
    <w:rsid w:val="002F262C"/>
    <w:rsid w:val="002F303B"/>
    <w:rsid w:val="002F565F"/>
    <w:rsid w:val="002F59BE"/>
    <w:rsid w:val="002F7753"/>
    <w:rsid w:val="003008B7"/>
    <w:rsid w:val="00300B3B"/>
    <w:rsid w:val="00306C70"/>
    <w:rsid w:val="00307443"/>
    <w:rsid w:val="003104E3"/>
    <w:rsid w:val="0031076B"/>
    <w:rsid w:val="00310AB9"/>
    <w:rsid w:val="00310B0E"/>
    <w:rsid w:val="00311DD0"/>
    <w:rsid w:val="00315126"/>
    <w:rsid w:val="00315505"/>
    <w:rsid w:val="003158D4"/>
    <w:rsid w:val="00315E4B"/>
    <w:rsid w:val="00320735"/>
    <w:rsid w:val="00322F5C"/>
    <w:rsid w:val="00323FDC"/>
    <w:rsid w:val="00331C2C"/>
    <w:rsid w:val="00333E86"/>
    <w:rsid w:val="003351F5"/>
    <w:rsid w:val="00336140"/>
    <w:rsid w:val="00340E1A"/>
    <w:rsid w:val="00343566"/>
    <w:rsid w:val="003441D4"/>
    <w:rsid w:val="00344D33"/>
    <w:rsid w:val="00345C99"/>
    <w:rsid w:val="003471DE"/>
    <w:rsid w:val="003471E0"/>
    <w:rsid w:val="00350BC7"/>
    <w:rsid w:val="00353C9E"/>
    <w:rsid w:val="00360CFD"/>
    <w:rsid w:val="003629DE"/>
    <w:rsid w:val="00362AF2"/>
    <w:rsid w:val="00363B96"/>
    <w:rsid w:val="00365625"/>
    <w:rsid w:val="00370B9B"/>
    <w:rsid w:val="00373547"/>
    <w:rsid w:val="003805B4"/>
    <w:rsid w:val="003839E0"/>
    <w:rsid w:val="00383AB3"/>
    <w:rsid w:val="003871A3"/>
    <w:rsid w:val="00390ECD"/>
    <w:rsid w:val="00391092"/>
    <w:rsid w:val="003A2966"/>
    <w:rsid w:val="003A73E3"/>
    <w:rsid w:val="003B16DF"/>
    <w:rsid w:val="003B5DD1"/>
    <w:rsid w:val="003B6B20"/>
    <w:rsid w:val="003B7BFE"/>
    <w:rsid w:val="003C0618"/>
    <w:rsid w:val="003C5AD6"/>
    <w:rsid w:val="003D0A9F"/>
    <w:rsid w:val="003D1A10"/>
    <w:rsid w:val="003D1ACB"/>
    <w:rsid w:val="003D1E68"/>
    <w:rsid w:val="003D2039"/>
    <w:rsid w:val="003D29DC"/>
    <w:rsid w:val="003D53D5"/>
    <w:rsid w:val="003D6F96"/>
    <w:rsid w:val="003E2204"/>
    <w:rsid w:val="003E227D"/>
    <w:rsid w:val="003E36C7"/>
    <w:rsid w:val="003E5F2B"/>
    <w:rsid w:val="003E7005"/>
    <w:rsid w:val="003F163C"/>
    <w:rsid w:val="003F21FA"/>
    <w:rsid w:val="003F54E6"/>
    <w:rsid w:val="003F6A8C"/>
    <w:rsid w:val="0040006A"/>
    <w:rsid w:val="004003AD"/>
    <w:rsid w:val="004005D3"/>
    <w:rsid w:val="00401EAD"/>
    <w:rsid w:val="00407461"/>
    <w:rsid w:val="004124A2"/>
    <w:rsid w:val="00415977"/>
    <w:rsid w:val="004223E2"/>
    <w:rsid w:val="00425371"/>
    <w:rsid w:val="0042661D"/>
    <w:rsid w:val="0042751E"/>
    <w:rsid w:val="0042771D"/>
    <w:rsid w:val="00432D56"/>
    <w:rsid w:val="0043358D"/>
    <w:rsid w:val="004359FF"/>
    <w:rsid w:val="00450A0B"/>
    <w:rsid w:val="00453929"/>
    <w:rsid w:val="0045596B"/>
    <w:rsid w:val="004572A4"/>
    <w:rsid w:val="00457DC5"/>
    <w:rsid w:val="0046330D"/>
    <w:rsid w:val="00463A2A"/>
    <w:rsid w:val="00466997"/>
    <w:rsid w:val="00470A18"/>
    <w:rsid w:val="00470C89"/>
    <w:rsid w:val="00476935"/>
    <w:rsid w:val="00476AD8"/>
    <w:rsid w:val="00476E99"/>
    <w:rsid w:val="00480366"/>
    <w:rsid w:val="004914A0"/>
    <w:rsid w:val="00493F0C"/>
    <w:rsid w:val="00495A13"/>
    <w:rsid w:val="00495C11"/>
    <w:rsid w:val="004A2BAE"/>
    <w:rsid w:val="004A3F71"/>
    <w:rsid w:val="004A6302"/>
    <w:rsid w:val="004A6D67"/>
    <w:rsid w:val="004B1BBD"/>
    <w:rsid w:val="004B2413"/>
    <w:rsid w:val="004B3B33"/>
    <w:rsid w:val="004B4F23"/>
    <w:rsid w:val="004B6D5F"/>
    <w:rsid w:val="004C457A"/>
    <w:rsid w:val="004C5C8C"/>
    <w:rsid w:val="004C66E9"/>
    <w:rsid w:val="004C78B6"/>
    <w:rsid w:val="004D17FE"/>
    <w:rsid w:val="004D1A72"/>
    <w:rsid w:val="004D25B3"/>
    <w:rsid w:val="004D36C1"/>
    <w:rsid w:val="004D4009"/>
    <w:rsid w:val="004D4BC9"/>
    <w:rsid w:val="004D4C9B"/>
    <w:rsid w:val="004D527C"/>
    <w:rsid w:val="004D7568"/>
    <w:rsid w:val="004D7976"/>
    <w:rsid w:val="004E03F7"/>
    <w:rsid w:val="004E0721"/>
    <w:rsid w:val="004E1149"/>
    <w:rsid w:val="004E114C"/>
    <w:rsid w:val="004E58EC"/>
    <w:rsid w:val="004E5C17"/>
    <w:rsid w:val="004E6579"/>
    <w:rsid w:val="004F0A54"/>
    <w:rsid w:val="004F7AD1"/>
    <w:rsid w:val="005110F5"/>
    <w:rsid w:val="0051405D"/>
    <w:rsid w:val="0051557C"/>
    <w:rsid w:val="0051607F"/>
    <w:rsid w:val="00516B53"/>
    <w:rsid w:val="00522C70"/>
    <w:rsid w:val="00530DFA"/>
    <w:rsid w:val="00531D96"/>
    <w:rsid w:val="00532AEA"/>
    <w:rsid w:val="00533B3E"/>
    <w:rsid w:val="00534A99"/>
    <w:rsid w:val="00536DFB"/>
    <w:rsid w:val="00537557"/>
    <w:rsid w:val="0054533C"/>
    <w:rsid w:val="00546BBC"/>
    <w:rsid w:val="00547820"/>
    <w:rsid w:val="00550C8E"/>
    <w:rsid w:val="00552E83"/>
    <w:rsid w:val="0055370A"/>
    <w:rsid w:val="00553FD4"/>
    <w:rsid w:val="0055594C"/>
    <w:rsid w:val="00555F9C"/>
    <w:rsid w:val="005570FA"/>
    <w:rsid w:val="005626B1"/>
    <w:rsid w:val="005627D8"/>
    <w:rsid w:val="005645D2"/>
    <w:rsid w:val="005670ED"/>
    <w:rsid w:val="0056794A"/>
    <w:rsid w:val="005711F9"/>
    <w:rsid w:val="00571A9A"/>
    <w:rsid w:val="005733A3"/>
    <w:rsid w:val="005739C5"/>
    <w:rsid w:val="005765A4"/>
    <w:rsid w:val="005801A8"/>
    <w:rsid w:val="00581777"/>
    <w:rsid w:val="00583F4D"/>
    <w:rsid w:val="00590602"/>
    <w:rsid w:val="00591105"/>
    <w:rsid w:val="00591564"/>
    <w:rsid w:val="00591EE7"/>
    <w:rsid w:val="00591F5A"/>
    <w:rsid w:val="0059255B"/>
    <w:rsid w:val="00592EED"/>
    <w:rsid w:val="0059411C"/>
    <w:rsid w:val="005956E3"/>
    <w:rsid w:val="00597054"/>
    <w:rsid w:val="005A06A2"/>
    <w:rsid w:val="005A085A"/>
    <w:rsid w:val="005A0F6D"/>
    <w:rsid w:val="005A2A91"/>
    <w:rsid w:val="005B1B6C"/>
    <w:rsid w:val="005B1C38"/>
    <w:rsid w:val="005B3073"/>
    <w:rsid w:val="005B313F"/>
    <w:rsid w:val="005B3ACD"/>
    <w:rsid w:val="005B5711"/>
    <w:rsid w:val="005B6BCF"/>
    <w:rsid w:val="005B7385"/>
    <w:rsid w:val="005C2EF8"/>
    <w:rsid w:val="005C3D49"/>
    <w:rsid w:val="005C4258"/>
    <w:rsid w:val="005D5856"/>
    <w:rsid w:val="005D66DD"/>
    <w:rsid w:val="005E04F7"/>
    <w:rsid w:val="005E0F3F"/>
    <w:rsid w:val="005E2344"/>
    <w:rsid w:val="005E4DC3"/>
    <w:rsid w:val="005F488B"/>
    <w:rsid w:val="00604DBA"/>
    <w:rsid w:val="00604FF3"/>
    <w:rsid w:val="0060646B"/>
    <w:rsid w:val="00614297"/>
    <w:rsid w:val="0061452B"/>
    <w:rsid w:val="0061493D"/>
    <w:rsid w:val="00615B21"/>
    <w:rsid w:val="00616EA6"/>
    <w:rsid w:val="00620CE3"/>
    <w:rsid w:val="00620D46"/>
    <w:rsid w:val="00620E6D"/>
    <w:rsid w:val="00623455"/>
    <w:rsid w:val="00623EBA"/>
    <w:rsid w:val="006240CA"/>
    <w:rsid w:val="0063446E"/>
    <w:rsid w:val="006348B9"/>
    <w:rsid w:val="00634AC1"/>
    <w:rsid w:val="006376B5"/>
    <w:rsid w:val="0064030E"/>
    <w:rsid w:val="0064062B"/>
    <w:rsid w:val="006407FC"/>
    <w:rsid w:val="00644C3F"/>
    <w:rsid w:val="00644E56"/>
    <w:rsid w:val="00646236"/>
    <w:rsid w:val="0064704A"/>
    <w:rsid w:val="00651192"/>
    <w:rsid w:val="00651775"/>
    <w:rsid w:val="00657D4A"/>
    <w:rsid w:val="00660E7C"/>
    <w:rsid w:val="0066383C"/>
    <w:rsid w:val="00664A19"/>
    <w:rsid w:val="00665E1B"/>
    <w:rsid w:val="006750BD"/>
    <w:rsid w:val="006758DA"/>
    <w:rsid w:val="00677113"/>
    <w:rsid w:val="00677398"/>
    <w:rsid w:val="00677784"/>
    <w:rsid w:val="006830A8"/>
    <w:rsid w:val="006838D9"/>
    <w:rsid w:val="00685E09"/>
    <w:rsid w:val="006907A8"/>
    <w:rsid w:val="00691E24"/>
    <w:rsid w:val="00691E6A"/>
    <w:rsid w:val="00697080"/>
    <w:rsid w:val="006A05CD"/>
    <w:rsid w:val="006A4696"/>
    <w:rsid w:val="006A4A8F"/>
    <w:rsid w:val="006A771C"/>
    <w:rsid w:val="006A7755"/>
    <w:rsid w:val="006B11DC"/>
    <w:rsid w:val="006B3220"/>
    <w:rsid w:val="006B52B3"/>
    <w:rsid w:val="006B70D8"/>
    <w:rsid w:val="006C1608"/>
    <w:rsid w:val="006C2285"/>
    <w:rsid w:val="006C302C"/>
    <w:rsid w:val="006C4ADD"/>
    <w:rsid w:val="006C5940"/>
    <w:rsid w:val="006D1C67"/>
    <w:rsid w:val="006D2D81"/>
    <w:rsid w:val="006D3B09"/>
    <w:rsid w:val="006D4936"/>
    <w:rsid w:val="006E2613"/>
    <w:rsid w:val="006E3902"/>
    <w:rsid w:val="006E4E09"/>
    <w:rsid w:val="006E53B1"/>
    <w:rsid w:val="006E5CEC"/>
    <w:rsid w:val="006F0730"/>
    <w:rsid w:val="006F3170"/>
    <w:rsid w:val="006F485E"/>
    <w:rsid w:val="006F61A9"/>
    <w:rsid w:val="007019F1"/>
    <w:rsid w:val="007033C7"/>
    <w:rsid w:val="0070390F"/>
    <w:rsid w:val="00703F65"/>
    <w:rsid w:val="007113A5"/>
    <w:rsid w:val="00712198"/>
    <w:rsid w:val="007154B6"/>
    <w:rsid w:val="007154FF"/>
    <w:rsid w:val="00717B84"/>
    <w:rsid w:val="00721C0E"/>
    <w:rsid w:val="0072458B"/>
    <w:rsid w:val="00724D2C"/>
    <w:rsid w:val="00727E20"/>
    <w:rsid w:val="007312F8"/>
    <w:rsid w:val="007341E9"/>
    <w:rsid w:val="007358A3"/>
    <w:rsid w:val="00740A18"/>
    <w:rsid w:val="00743A43"/>
    <w:rsid w:val="00744724"/>
    <w:rsid w:val="00745730"/>
    <w:rsid w:val="00746300"/>
    <w:rsid w:val="00750B84"/>
    <w:rsid w:val="007526DD"/>
    <w:rsid w:val="007553FA"/>
    <w:rsid w:val="007566CF"/>
    <w:rsid w:val="00757860"/>
    <w:rsid w:val="00764834"/>
    <w:rsid w:val="00765AE6"/>
    <w:rsid w:val="00765BC4"/>
    <w:rsid w:val="007676DA"/>
    <w:rsid w:val="00770D1E"/>
    <w:rsid w:val="0077567A"/>
    <w:rsid w:val="00775C26"/>
    <w:rsid w:val="00782DF4"/>
    <w:rsid w:val="0078487A"/>
    <w:rsid w:val="00790874"/>
    <w:rsid w:val="007932D9"/>
    <w:rsid w:val="00793450"/>
    <w:rsid w:val="00795276"/>
    <w:rsid w:val="007956C8"/>
    <w:rsid w:val="007A02C5"/>
    <w:rsid w:val="007A6F51"/>
    <w:rsid w:val="007A74FC"/>
    <w:rsid w:val="007B0B38"/>
    <w:rsid w:val="007B2640"/>
    <w:rsid w:val="007D20A8"/>
    <w:rsid w:val="007D4030"/>
    <w:rsid w:val="007D62AA"/>
    <w:rsid w:val="007E12B5"/>
    <w:rsid w:val="007E4144"/>
    <w:rsid w:val="007E5649"/>
    <w:rsid w:val="007E5CD7"/>
    <w:rsid w:val="007E6681"/>
    <w:rsid w:val="007E714C"/>
    <w:rsid w:val="007F36D7"/>
    <w:rsid w:val="007F38A4"/>
    <w:rsid w:val="007F566E"/>
    <w:rsid w:val="007F6782"/>
    <w:rsid w:val="00801690"/>
    <w:rsid w:val="00801F9B"/>
    <w:rsid w:val="008032A5"/>
    <w:rsid w:val="00807649"/>
    <w:rsid w:val="00810D38"/>
    <w:rsid w:val="0081680D"/>
    <w:rsid w:val="00820DA7"/>
    <w:rsid w:val="00821A51"/>
    <w:rsid w:val="00824F6A"/>
    <w:rsid w:val="008259AB"/>
    <w:rsid w:val="0083087C"/>
    <w:rsid w:val="00832203"/>
    <w:rsid w:val="00834C63"/>
    <w:rsid w:val="00840659"/>
    <w:rsid w:val="00840A4D"/>
    <w:rsid w:val="0084532A"/>
    <w:rsid w:val="008461FD"/>
    <w:rsid w:val="0084704F"/>
    <w:rsid w:val="00847CDA"/>
    <w:rsid w:val="00855EA9"/>
    <w:rsid w:val="00860078"/>
    <w:rsid w:val="0086018D"/>
    <w:rsid w:val="0086339A"/>
    <w:rsid w:val="008661E9"/>
    <w:rsid w:val="00866396"/>
    <w:rsid w:val="00866EAD"/>
    <w:rsid w:val="00870C52"/>
    <w:rsid w:val="00872A40"/>
    <w:rsid w:val="00873813"/>
    <w:rsid w:val="008753CC"/>
    <w:rsid w:val="00876575"/>
    <w:rsid w:val="00876640"/>
    <w:rsid w:val="00876A27"/>
    <w:rsid w:val="00876C35"/>
    <w:rsid w:val="00883E5B"/>
    <w:rsid w:val="00883EA1"/>
    <w:rsid w:val="0088464A"/>
    <w:rsid w:val="00884F87"/>
    <w:rsid w:val="00887366"/>
    <w:rsid w:val="00887438"/>
    <w:rsid w:val="00890D51"/>
    <w:rsid w:val="00892655"/>
    <w:rsid w:val="008933FD"/>
    <w:rsid w:val="00894548"/>
    <w:rsid w:val="0089588D"/>
    <w:rsid w:val="008A45E9"/>
    <w:rsid w:val="008A6232"/>
    <w:rsid w:val="008A6D34"/>
    <w:rsid w:val="008A7A97"/>
    <w:rsid w:val="008B2CEE"/>
    <w:rsid w:val="008B2F75"/>
    <w:rsid w:val="008B48A0"/>
    <w:rsid w:val="008B6EB3"/>
    <w:rsid w:val="008C10E8"/>
    <w:rsid w:val="008C134A"/>
    <w:rsid w:val="008C1DEA"/>
    <w:rsid w:val="008C2DEB"/>
    <w:rsid w:val="008D1176"/>
    <w:rsid w:val="008D1614"/>
    <w:rsid w:val="008D5575"/>
    <w:rsid w:val="008D5F1A"/>
    <w:rsid w:val="008E24FE"/>
    <w:rsid w:val="008E26F8"/>
    <w:rsid w:val="008E6EC3"/>
    <w:rsid w:val="008E7303"/>
    <w:rsid w:val="008F0A49"/>
    <w:rsid w:val="008F3A8C"/>
    <w:rsid w:val="008F3AEF"/>
    <w:rsid w:val="008F478F"/>
    <w:rsid w:val="008F5744"/>
    <w:rsid w:val="009034DC"/>
    <w:rsid w:val="00903E50"/>
    <w:rsid w:val="009136C2"/>
    <w:rsid w:val="00914BE0"/>
    <w:rsid w:val="009167BC"/>
    <w:rsid w:val="00917689"/>
    <w:rsid w:val="009204C7"/>
    <w:rsid w:val="009220DE"/>
    <w:rsid w:val="00924A00"/>
    <w:rsid w:val="00924CBC"/>
    <w:rsid w:val="0093172C"/>
    <w:rsid w:val="00931A08"/>
    <w:rsid w:val="00931CDF"/>
    <w:rsid w:val="00933EE2"/>
    <w:rsid w:val="0093439D"/>
    <w:rsid w:val="00936511"/>
    <w:rsid w:val="00936962"/>
    <w:rsid w:val="009375E2"/>
    <w:rsid w:val="00941126"/>
    <w:rsid w:val="00941C0B"/>
    <w:rsid w:val="00942632"/>
    <w:rsid w:val="0095354B"/>
    <w:rsid w:val="00954BFD"/>
    <w:rsid w:val="00960020"/>
    <w:rsid w:val="00963521"/>
    <w:rsid w:val="00967449"/>
    <w:rsid w:val="00971CA5"/>
    <w:rsid w:val="009721E9"/>
    <w:rsid w:val="00972D7D"/>
    <w:rsid w:val="0097546B"/>
    <w:rsid w:val="00982F0A"/>
    <w:rsid w:val="00983740"/>
    <w:rsid w:val="009854D1"/>
    <w:rsid w:val="0098667A"/>
    <w:rsid w:val="00987BF6"/>
    <w:rsid w:val="00990131"/>
    <w:rsid w:val="00990397"/>
    <w:rsid w:val="00990455"/>
    <w:rsid w:val="00992FDA"/>
    <w:rsid w:val="0099585D"/>
    <w:rsid w:val="009A1FF3"/>
    <w:rsid w:val="009A31A5"/>
    <w:rsid w:val="009A36F8"/>
    <w:rsid w:val="009A4D9B"/>
    <w:rsid w:val="009A5BBF"/>
    <w:rsid w:val="009A7344"/>
    <w:rsid w:val="009B0CEF"/>
    <w:rsid w:val="009B17A4"/>
    <w:rsid w:val="009B2014"/>
    <w:rsid w:val="009B2490"/>
    <w:rsid w:val="009B433A"/>
    <w:rsid w:val="009B5951"/>
    <w:rsid w:val="009B6DB5"/>
    <w:rsid w:val="009B7C34"/>
    <w:rsid w:val="009C7587"/>
    <w:rsid w:val="009C7FAE"/>
    <w:rsid w:val="009D071E"/>
    <w:rsid w:val="009D106B"/>
    <w:rsid w:val="009D2FCB"/>
    <w:rsid w:val="009D42B0"/>
    <w:rsid w:val="009D4DAA"/>
    <w:rsid w:val="009D5588"/>
    <w:rsid w:val="009E14A1"/>
    <w:rsid w:val="009E5B6A"/>
    <w:rsid w:val="009E5B71"/>
    <w:rsid w:val="009E5C32"/>
    <w:rsid w:val="009F38FC"/>
    <w:rsid w:val="009F5DFF"/>
    <w:rsid w:val="00A06E5D"/>
    <w:rsid w:val="00A1059F"/>
    <w:rsid w:val="00A20348"/>
    <w:rsid w:val="00A21823"/>
    <w:rsid w:val="00A22123"/>
    <w:rsid w:val="00A228E8"/>
    <w:rsid w:val="00A273D3"/>
    <w:rsid w:val="00A30472"/>
    <w:rsid w:val="00A3377C"/>
    <w:rsid w:val="00A34E2D"/>
    <w:rsid w:val="00A36C2F"/>
    <w:rsid w:val="00A408BC"/>
    <w:rsid w:val="00A47375"/>
    <w:rsid w:val="00A519EB"/>
    <w:rsid w:val="00A52FC5"/>
    <w:rsid w:val="00A54A74"/>
    <w:rsid w:val="00A57615"/>
    <w:rsid w:val="00A579A5"/>
    <w:rsid w:val="00A60FCD"/>
    <w:rsid w:val="00A66DC1"/>
    <w:rsid w:val="00A674A9"/>
    <w:rsid w:val="00A70E27"/>
    <w:rsid w:val="00A72498"/>
    <w:rsid w:val="00A72834"/>
    <w:rsid w:val="00A72D55"/>
    <w:rsid w:val="00A8028C"/>
    <w:rsid w:val="00A806A7"/>
    <w:rsid w:val="00A83853"/>
    <w:rsid w:val="00A8763A"/>
    <w:rsid w:val="00A9038F"/>
    <w:rsid w:val="00A92375"/>
    <w:rsid w:val="00A9298A"/>
    <w:rsid w:val="00A9480D"/>
    <w:rsid w:val="00AA57E9"/>
    <w:rsid w:val="00AA7B20"/>
    <w:rsid w:val="00AB0755"/>
    <w:rsid w:val="00AB25B5"/>
    <w:rsid w:val="00AB43D7"/>
    <w:rsid w:val="00AB4501"/>
    <w:rsid w:val="00AB669B"/>
    <w:rsid w:val="00AB78F5"/>
    <w:rsid w:val="00AC2DF2"/>
    <w:rsid w:val="00AC34C1"/>
    <w:rsid w:val="00AC3F2B"/>
    <w:rsid w:val="00AC57BD"/>
    <w:rsid w:val="00AC5992"/>
    <w:rsid w:val="00AC7D32"/>
    <w:rsid w:val="00AD1EBB"/>
    <w:rsid w:val="00AE0349"/>
    <w:rsid w:val="00AE76FE"/>
    <w:rsid w:val="00AF040E"/>
    <w:rsid w:val="00AF0D7F"/>
    <w:rsid w:val="00AF70B8"/>
    <w:rsid w:val="00AF744A"/>
    <w:rsid w:val="00B002EC"/>
    <w:rsid w:val="00B01617"/>
    <w:rsid w:val="00B05F7E"/>
    <w:rsid w:val="00B07ED6"/>
    <w:rsid w:val="00B100EF"/>
    <w:rsid w:val="00B12AC3"/>
    <w:rsid w:val="00B12C5B"/>
    <w:rsid w:val="00B15FA3"/>
    <w:rsid w:val="00B2001F"/>
    <w:rsid w:val="00B25E0E"/>
    <w:rsid w:val="00B27A7F"/>
    <w:rsid w:val="00B30DD1"/>
    <w:rsid w:val="00B355CC"/>
    <w:rsid w:val="00B3701F"/>
    <w:rsid w:val="00B41F3E"/>
    <w:rsid w:val="00B47216"/>
    <w:rsid w:val="00B50B0A"/>
    <w:rsid w:val="00B51180"/>
    <w:rsid w:val="00B514D9"/>
    <w:rsid w:val="00B532B9"/>
    <w:rsid w:val="00B564A2"/>
    <w:rsid w:val="00B62A3F"/>
    <w:rsid w:val="00B64BA3"/>
    <w:rsid w:val="00B64C74"/>
    <w:rsid w:val="00B66D29"/>
    <w:rsid w:val="00B67898"/>
    <w:rsid w:val="00B71DF1"/>
    <w:rsid w:val="00B725C5"/>
    <w:rsid w:val="00B74865"/>
    <w:rsid w:val="00B75AC7"/>
    <w:rsid w:val="00B8472B"/>
    <w:rsid w:val="00B851E3"/>
    <w:rsid w:val="00B87FAE"/>
    <w:rsid w:val="00B90207"/>
    <w:rsid w:val="00B94443"/>
    <w:rsid w:val="00B94ED4"/>
    <w:rsid w:val="00B963C9"/>
    <w:rsid w:val="00BA0010"/>
    <w:rsid w:val="00BA22E0"/>
    <w:rsid w:val="00BA2855"/>
    <w:rsid w:val="00BA4B60"/>
    <w:rsid w:val="00BA598E"/>
    <w:rsid w:val="00BA6399"/>
    <w:rsid w:val="00BA7BC7"/>
    <w:rsid w:val="00BB1483"/>
    <w:rsid w:val="00BB7FCC"/>
    <w:rsid w:val="00BC1027"/>
    <w:rsid w:val="00BC3C41"/>
    <w:rsid w:val="00BC3D3A"/>
    <w:rsid w:val="00BC40F7"/>
    <w:rsid w:val="00BD4C7F"/>
    <w:rsid w:val="00BD7610"/>
    <w:rsid w:val="00BE1943"/>
    <w:rsid w:val="00BE2206"/>
    <w:rsid w:val="00BE24B9"/>
    <w:rsid w:val="00BE46B6"/>
    <w:rsid w:val="00BF0DDA"/>
    <w:rsid w:val="00BF128D"/>
    <w:rsid w:val="00BF19C6"/>
    <w:rsid w:val="00BF2BD1"/>
    <w:rsid w:val="00BF3870"/>
    <w:rsid w:val="00BF6212"/>
    <w:rsid w:val="00BF6E2C"/>
    <w:rsid w:val="00BF7D80"/>
    <w:rsid w:val="00C001CE"/>
    <w:rsid w:val="00C0074D"/>
    <w:rsid w:val="00C06E05"/>
    <w:rsid w:val="00C1300A"/>
    <w:rsid w:val="00C1593C"/>
    <w:rsid w:val="00C15AB2"/>
    <w:rsid w:val="00C15BCF"/>
    <w:rsid w:val="00C2283A"/>
    <w:rsid w:val="00C319B7"/>
    <w:rsid w:val="00C331A6"/>
    <w:rsid w:val="00C3400A"/>
    <w:rsid w:val="00C350E6"/>
    <w:rsid w:val="00C35BFE"/>
    <w:rsid w:val="00C35FFF"/>
    <w:rsid w:val="00C4161A"/>
    <w:rsid w:val="00C41947"/>
    <w:rsid w:val="00C41BEE"/>
    <w:rsid w:val="00C42422"/>
    <w:rsid w:val="00C52644"/>
    <w:rsid w:val="00C570D6"/>
    <w:rsid w:val="00C6056C"/>
    <w:rsid w:val="00C6083D"/>
    <w:rsid w:val="00C617EF"/>
    <w:rsid w:val="00C66661"/>
    <w:rsid w:val="00C66D08"/>
    <w:rsid w:val="00C73026"/>
    <w:rsid w:val="00C73753"/>
    <w:rsid w:val="00C814C4"/>
    <w:rsid w:val="00C8249B"/>
    <w:rsid w:val="00C82F80"/>
    <w:rsid w:val="00C848E8"/>
    <w:rsid w:val="00C859F1"/>
    <w:rsid w:val="00C87CBF"/>
    <w:rsid w:val="00C87F9C"/>
    <w:rsid w:val="00C903FC"/>
    <w:rsid w:val="00C93B7F"/>
    <w:rsid w:val="00C96EB4"/>
    <w:rsid w:val="00CA1782"/>
    <w:rsid w:val="00CA5D7B"/>
    <w:rsid w:val="00CA6A91"/>
    <w:rsid w:val="00CA6E59"/>
    <w:rsid w:val="00CB088D"/>
    <w:rsid w:val="00CB0CF9"/>
    <w:rsid w:val="00CB1E3A"/>
    <w:rsid w:val="00CB33E3"/>
    <w:rsid w:val="00CB6180"/>
    <w:rsid w:val="00CC0FD0"/>
    <w:rsid w:val="00CC243F"/>
    <w:rsid w:val="00CC3555"/>
    <w:rsid w:val="00CC79C7"/>
    <w:rsid w:val="00CD35A5"/>
    <w:rsid w:val="00CD38B6"/>
    <w:rsid w:val="00CD7771"/>
    <w:rsid w:val="00CE165D"/>
    <w:rsid w:val="00CE40F3"/>
    <w:rsid w:val="00CE589C"/>
    <w:rsid w:val="00CE7994"/>
    <w:rsid w:val="00CF0749"/>
    <w:rsid w:val="00CF2F0B"/>
    <w:rsid w:val="00CF35BD"/>
    <w:rsid w:val="00CF573C"/>
    <w:rsid w:val="00CF6ABD"/>
    <w:rsid w:val="00D00DFA"/>
    <w:rsid w:val="00D019C2"/>
    <w:rsid w:val="00D01FD4"/>
    <w:rsid w:val="00D02378"/>
    <w:rsid w:val="00D02FCE"/>
    <w:rsid w:val="00D067AD"/>
    <w:rsid w:val="00D1060E"/>
    <w:rsid w:val="00D117D5"/>
    <w:rsid w:val="00D1232F"/>
    <w:rsid w:val="00D12917"/>
    <w:rsid w:val="00D15DED"/>
    <w:rsid w:val="00D17555"/>
    <w:rsid w:val="00D2148B"/>
    <w:rsid w:val="00D23BC3"/>
    <w:rsid w:val="00D2438E"/>
    <w:rsid w:val="00D27173"/>
    <w:rsid w:val="00D304D0"/>
    <w:rsid w:val="00D348AF"/>
    <w:rsid w:val="00D3566F"/>
    <w:rsid w:val="00D4115B"/>
    <w:rsid w:val="00D41D2D"/>
    <w:rsid w:val="00D4500D"/>
    <w:rsid w:val="00D474FC"/>
    <w:rsid w:val="00D51628"/>
    <w:rsid w:val="00D62AF1"/>
    <w:rsid w:val="00D64A0A"/>
    <w:rsid w:val="00D6771B"/>
    <w:rsid w:val="00D7283E"/>
    <w:rsid w:val="00D7369A"/>
    <w:rsid w:val="00D7475D"/>
    <w:rsid w:val="00D75EE0"/>
    <w:rsid w:val="00D8288A"/>
    <w:rsid w:val="00D828C7"/>
    <w:rsid w:val="00D861B5"/>
    <w:rsid w:val="00D86734"/>
    <w:rsid w:val="00D86BD8"/>
    <w:rsid w:val="00D91072"/>
    <w:rsid w:val="00D9501F"/>
    <w:rsid w:val="00D975A7"/>
    <w:rsid w:val="00DA11BC"/>
    <w:rsid w:val="00DA5F0F"/>
    <w:rsid w:val="00DB2D6C"/>
    <w:rsid w:val="00DB335C"/>
    <w:rsid w:val="00DB745D"/>
    <w:rsid w:val="00DB748E"/>
    <w:rsid w:val="00DC1DA2"/>
    <w:rsid w:val="00DC4110"/>
    <w:rsid w:val="00DC4FA6"/>
    <w:rsid w:val="00DC5180"/>
    <w:rsid w:val="00DC6B0F"/>
    <w:rsid w:val="00DD06F2"/>
    <w:rsid w:val="00DD074A"/>
    <w:rsid w:val="00DD0D19"/>
    <w:rsid w:val="00DD0DCC"/>
    <w:rsid w:val="00DD33F8"/>
    <w:rsid w:val="00DD67D3"/>
    <w:rsid w:val="00DE09D1"/>
    <w:rsid w:val="00DE63BA"/>
    <w:rsid w:val="00DF0460"/>
    <w:rsid w:val="00DF169E"/>
    <w:rsid w:val="00DF20A8"/>
    <w:rsid w:val="00DF2C5E"/>
    <w:rsid w:val="00DF438D"/>
    <w:rsid w:val="00DF5144"/>
    <w:rsid w:val="00E03EEE"/>
    <w:rsid w:val="00E04F48"/>
    <w:rsid w:val="00E0531D"/>
    <w:rsid w:val="00E069F9"/>
    <w:rsid w:val="00E11D2C"/>
    <w:rsid w:val="00E120ED"/>
    <w:rsid w:val="00E125CF"/>
    <w:rsid w:val="00E17310"/>
    <w:rsid w:val="00E2012D"/>
    <w:rsid w:val="00E202B1"/>
    <w:rsid w:val="00E21C37"/>
    <w:rsid w:val="00E21FDC"/>
    <w:rsid w:val="00E266BA"/>
    <w:rsid w:val="00E307A2"/>
    <w:rsid w:val="00E3199F"/>
    <w:rsid w:val="00E336FF"/>
    <w:rsid w:val="00E3448D"/>
    <w:rsid w:val="00E35ADA"/>
    <w:rsid w:val="00E372B1"/>
    <w:rsid w:val="00E3792F"/>
    <w:rsid w:val="00E4253D"/>
    <w:rsid w:val="00E43C7E"/>
    <w:rsid w:val="00E44F15"/>
    <w:rsid w:val="00E47A50"/>
    <w:rsid w:val="00E547CC"/>
    <w:rsid w:val="00E55C47"/>
    <w:rsid w:val="00E60320"/>
    <w:rsid w:val="00E64005"/>
    <w:rsid w:val="00E6735A"/>
    <w:rsid w:val="00E677F5"/>
    <w:rsid w:val="00E7035D"/>
    <w:rsid w:val="00E71AE3"/>
    <w:rsid w:val="00E8045A"/>
    <w:rsid w:val="00E83336"/>
    <w:rsid w:val="00E844C5"/>
    <w:rsid w:val="00E853D4"/>
    <w:rsid w:val="00E85C2F"/>
    <w:rsid w:val="00E911DA"/>
    <w:rsid w:val="00E912C8"/>
    <w:rsid w:val="00E912DA"/>
    <w:rsid w:val="00E91524"/>
    <w:rsid w:val="00E935B6"/>
    <w:rsid w:val="00E935F3"/>
    <w:rsid w:val="00E940A5"/>
    <w:rsid w:val="00E947C1"/>
    <w:rsid w:val="00E952CE"/>
    <w:rsid w:val="00E961B3"/>
    <w:rsid w:val="00E97484"/>
    <w:rsid w:val="00EA10F5"/>
    <w:rsid w:val="00EA1BB8"/>
    <w:rsid w:val="00EA1DCD"/>
    <w:rsid w:val="00EA411A"/>
    <w:rsid w:val="00EA5D52"/>
    <w:rsid w:val="00EB2417"/>
    <w:rsid w:val="00EB79EE"/>
    <w:rsid w:val="00EC2C26"/>
    <w:rsid w:val="00EC6911"/>
    <w:rsid w:val="00EC6CCA"/>
    <w:rsid w:val="00EC7630"/>
    <w:rsid w:val="00ED075D"/>
    <w:rsid w:val="00ED14C3"/>
    <w:rsid w:val="00ED2F5B"/>
    <w:rsid w:val="00ED45DE"/>
    <w:rsid w:val="00ED76AD"/>
    <w:rsid w:val="00ED78F3"/>
    <w:rsid w:val="00EE479A"/>
    <w:rsid w:val="00EE6770"/>
    <w:rsid w:val="00EE71BD"/>
    <w:rsid w:val="00EE7DF6"/>
    <w:rsid w:val="00EF0BF4"/>
    <w:rsid w:val="00EF1D42"/>
    <w:rsid w:val="00EF1FA0"/>
    <w:rsid w:val="00EF282F"/>
    <w:rsid w:val="00EF4369"/>
    <w:rsid w:val="00EF4395"/>
    <w:rsid w:val="00EF47E4"/>
    <w:rsid w:val="00F03347"/>
    <w:rsid w:val="00F05622"/>
    <w:rsid w:val="00F075CC"/>
    <w:rsid w:val="00F10C6F"/>
    <w:rsid w:val="00F12297"/>
    <w:rsid w:val="00F122EB"/>
    <w:rsid w:val="00F13D78"/>
    <w:rsid w:val="00F14D9F"/>
    <w:rsid w:val="00F164B4"/>
    <w:rsid w:val="00F17D36"/>
    <w:rsid w:val="00F21016"/>
    <w:rsid w:val="00F21DF0"/>
    <w:rsid w:val="00F22951"/>
    <w:rsid w:val="00F24079"/>
    <w:rsid w:val="00F259CE"/>
    <w:rsid w:val="00F2719C"/>
    <w:rsid w:val="00F33D34"/>
    <w:rsid w:val="00F3500F"/>
    <w:rsid w:val="00F37C9A"/>
    <w:rsid w:val="00F40191"/>
    <w:rsid w:val="00F46A8D"/>
    <w:rsid w:val="00F53C25"/>
    <w:rsid w:val="00F603C8"/>
    <w:rsid w:val="00F645E3"/>
    <w:rsid w:val="00F65BA6"/>
    <w:rsid w:val="00F67384"/>
    <w:rsid w:val="00F744CA"/>
    <w:rsid w:val="00F802FC"/>
    <w:rsid w:val="00F80B66"/>
    <w:rsid w:val="00F818D1"/>
    <w:rsid w:val="00F82476"/>
    <w:rsid w:val="00F85643"/>
    <w:rsid w:val="00F90593"/>
    <w:rsid w:val="00F93DEC"/>
    <w:rsid w:val="00F94ABE"/>
    <w:rsid w:val="00F95BD8"/>
    <w:rsid w:val="00F95DF9"/>
    <w:rsid w:val="00FA12B0"/>
    <w:rsid w:val="00FA2A87"/>
    <w:rsid w:val="00FA7CDD"/>
    <w:rsid w:val="00FA7D52"/>
    <w:rsid w:val="00FB4E27"/>
    <w:rsid w:val="00FB5FFC"/>
    <w:rsid w:val="00FB706D"/>
    <w:rsid w:val="00FC6A73"/>
    <w:rsid w:val="00FD1505"/>
    <w:rsid w:val="00FD3CA0"/>
    <w:rsid w:val="00FD4E41"/>
    <w:rsid w:val="00FE15D3"/>
    <w:rsid w:val="00FF1ACE"/>
    <w:rsid w:val="00FF6D85"/>
    <w:rsid w:val="00FF7E43"/>
    <w:rsid w:val="0275DA3A"/>
    <w:rsid w:val="04C45D0A"/>
    <w:rsid w:val="0CAACC99"/>
    <w:rsid w:val="10BEC5CF"/>
    <w:rsid w:val="1115D5EE"/>
    <w:rsid w:val="16C1BAEE"/>
    <w:rsid w:val="18137F8B"/>
    <w:rsid w:val="233AA0D3"/>
    <w:rsid w:val="2C145215"/>
    <w:rsid w:val="2E6D23B0"/>
    <w:rsid w:val="2ECA140C"/>
    <w:rsid w:val="2ECB82F3"/>
    <w:rsid w:val="2F8C5B75"/>
    <w:rsid w:val="32FD2B67"/>
    <w:rsid w:val="3B284989"/>
    <w:rsid w:val="47329FDA"/>
    <w:rsid w:val="47C0CFE1"/>
    <w:rsid w:val="48B94770"/>
    <w:rsid w:val="4B0D27D8"/>
    <w:rsid w:val="50550109"/>
    <w:rsid w:val="519236C8"/>
    <w:rsid w:val="544850FF"/>
    <w:rsid w:val="5757A270"/>
    <w:rsid w:val="57C7B218"/>
    <w:rsid w:val="57F84CD5"/>
    <w:rsid w:val="585A7D0C"/>
    <w:rsid w:val="5ABA97D9"/>
    <w:rsid w:val="5B2F5173"/>
    <w:rsid w:val="5E68F7DD"/>
    <w:rsid w:val="5F70CE3F"/>
    <w:rsid w:val="5F8BBE36"/>
    <w:rsid w:val="62999D12"/>
    <w:rsid w:val="650AF5A4"/>
    <w:rsid w:val="66C7F629"/>
    <w:rsid w:val="678C665A"/>
    <w:rsid w:val="696BD913"/>
    <w:rsid w:val="69CB578A"/>
    <w:rsid w:val="6C75AF0F"/>
    <w:rsid w:val="6D88BFF0"/>
    <w:rsid w:val="6E32965F"/>
    <w:rsid w:val="6E8F80E9"/>
    <w:rsid w:val="773D0F2C"/>
    <w:rsid w:val="7849B7EE"/>
    <w:rsid w:val="7B36A320"/>
    <w:rsid w:val="7EA2054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44CA2D"/>
  <w15:chartTrackingRefBased/>
  <w15:docId w15:val="{FEFCCE16-6009-4399-9BF8-2C0A5367B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150A1"/>
    <w:pPr>
      <w:keepNext/>
      <w:keepLines/>
      <w:spacing w:before="240" w:after="0"/>
      <w:outlineLvl w:val="0"/>
    </w:pPr>
    <w:rPr>
      <w:rFonts w:ascii="Avenir Next Condensed" w:eastAsiaTheme="majorEastAsia" w:hAnsi="Avenir Next Condensed" w:cstheme="majorBidi"/>
      <w:color w:val="FF0000"/>
      <w:sz w:val="36"/>
      <w:szCs w:val="32"/>
    </w:rPr>
  </w:style>
  <w:style w:type="paragraph" w:styleId="Heading2">
    <w:name w:val="heading 2"/>
    <w:basedOn w:val="Normal"/>
    <w:next w:val="Normal"/>
    <w:link w:val="Heading2Char"/>
    <w:autoRedefine/>
    <w:uiPriority w:val="9"/>
    <w:unhideWhenUsed/>
    <w:qFormat/>
    <w:rsid w:val="00C52644"/>
    <w:pPr>
      <w:keepNext/>
      <w:keepLines/>
      <w:spacing w:after="0" w:line="240" w:lineRule="auto"/>
      <w:outlineLvl w:val="1"/>
    </w:pPr>
    <w:rPr>
      <w:rFonts w:ascii="Avenir Next Condensed" w:eastAsiaTheme="majorEastAsia" w:hAnsi="Avenir Next Condensed" w:cstheme="majorBidi"/>
      <w:color w:val="000000" w:themeColor="text1"/>
      <w:sz w:val="24"/>
      <w:szCs w:val="24"/>
    </w:rPr>
  </w:style>
  <w:style w:type="paragraph" w:styleId="Heading3">
    <w:name w:val="heading 3"/>
    <w:basedOn w:val="Normal"/>
    <w:next w:val="Normal"/>
    <w:link w:val="Heading3Char"/>
    <w:uiPriority w:val="9"/>
    <w:unhideWhenUsed/>
    <w:qFormat/>
    <w:rsid w:val="00D7283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BC3D3A"/>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D17555"/>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unhideWhenUsed/>
    <w:rsid w:val="000D7D1B"/>
    <w:pPr>
      <w:tabs>
        <w:tab w:val="right" w:leader="dot" w:pos="9350"/>
      </w:tabs>
      <w:spacing w:before="360" w:after="0"/>
    </w:pPr>
    <w:rPr>
      <w:rFonts w:asciiTheme="majorHAnsi" w:hAnsiTheme="majorHAnsi" w:cs="Calibri Light (Headings)"/>
      <w:noProof/>
      <w:sz w:val="24"/>
      <w:szCs w:val="24"/>
    </w:rPr>
  </w:style>
  <w:style w:type="paragraph" w:styleId="TOC2">
    <w:name w:val="toc 2"/>
    <w:basedOn w:val="Normal"/>
    <w:next w:val="Normal"/>
    <w:autoRedefine/>
    <w:uiPriority w:val="39"/>
    <w:unhideWhenUsed/>
    <w:rsid w:val="007154B6"/>
    <w:pPr>
      <w:tabs>
        <w:tab w:val="right" w:leader="dot" w:pos="9345"/>
      </w:tabs>
      <w:spacing w:before="240" w:after="0"/>
      <w:ind w:left="720"/>
    </w:pPr>
    <w:rPr>
      <w:rFonts w:cstheme="minorHAnsi"/>
      <w:i/>
      <w:iCs/>
      <w:noProof/>
      <w:color w:val="000000" w:themeColor="text1"/>
      <w:kern w:val="2"/>
      <w:sz w:val="20"/>
      <w:szCs w:val="20"/>
      <w14:ligatures w14:val="standardContextual"/>
    </w:rPr>
  </w:style>
  <w:style w:type="paragraph" w:styleId="TOC3">
    <w:name w:val="toc 3"/>
    <w:basedOn w:val="Normal"/>
    <w:next w:val="Normal"/>
    <w:autoRedefine/>
    <w:uiPriority w:val="39"/>
    <w:unhideWhenUsed/>
    <w:rsid w:val="00A06E5D"/>
    <w:pPr>
      <w:spacing w:after="0"/>
      <w:ind w:left="220"/>
    </w:pPr>
    <w:rPr>
      <w:rFonts w:cstheme="minorHAnsi"/>
      <w:sz w:val="20"/>
      <w:szCs w:val="20"/>
    </w:rPr>
  </w:style>
  <w:style w:type="paragraph" w:styleId="TOC4">
    <w:name w:val="toc 4"/>
    <w:basedOn w:val="Normal"/>
    <w:next w:val="Normal"/>
    <w:autoRedefine/>
    <w:uiPriority w:val="39"/>
    <w:unhideWhenUsed/>
    <w:rsid w:val="00A06E5D"/>
    <w:pPr>
      <w:spacing w:after="0"/>
      <w:ind w:left="440"/>
    </w:pPr>
    <w:rPr>
      <w:rFonts w:cstheme="minorHAnsi"/>
      <w:sz w:val="20"/>
      <w:szCs w:val="20"/>
    </w:rPr>
  </w:style>
  <w:style w:type="paragraph" w:styleId="TOC5">
    <w:name w:val="toc 5"/>
    <w:basedOn w:val="Normal"/>
    <w:next w:val="Normal"/>
    <w:autoRedefine/>
    <w:uiPriority w:val="39"/>
    <w:unhideWhenUsed/>
    <w:rsid w:val="00A06E5D"/>
    <w:pPr>
      <w:spacing w:after="0"/>
      <w:ind w:left="660"/>
    </w:pPr>
    <w:rPr>
      <w:rFonts w:cstheme="minorHAnsi"/>
      <w:sz w:val="20"/>
      <w:szCs w:val="20"/>
    </w:rPr>
  </w:style>
  <w:style w:type="paragraph" w:styleId="TOC6">
    <w:name w:val="toc 6"/>
    <w:basedOn w:val="Normal"/>
    <w:next w:val="Normal"/>
    <w:autoRedefine/>
    <w:uiPriority w:val="39"/>
    <w:unhideWhenUsed/>
    <w:rsid w:val="00A06E5D"/>
    <w:pPr>
      <w:spacing w:after="0"/>
      <w:ind w:left="880"/>
    </w:pPr>
    <w:rPr>
      <w:rFonts w:cstheme="minorHAnsi"/>
      <w:sz w:val="20"/>
      <w:szCs w:val="20"/>
    </w:rPr>
  </w:style>
  <w:style w:type="paragraph" w:styleId="TOC7">
    <w:name w:val="toc 7"/>
    <w:basedOn w:val="Normal"/>
    <w:next w:val="Normal"/>
    <w:autoRedefine/>
    <w:uiPriority w:val="39"/>
    <w:unhideWhenUsed/>
    <w:rsid w:val="00A06E5D"/>
    <w:pPr>
      <w:spacing w:after="0"/>
      <w:ind w:left="1100"/>
    </w:pPr>
    <w:rPr>
      <w:rFonts w:cstheme="minorHAnsi"/>
      <w:sz w:val="20"/>
      <w:szCs w:val="20"/>
    </w:rPr>
  </w:style>
  <w:style w:type="paragraph" w:styleId="TOC8">
    <w:name w:val="toc 8"/>
    <w:basedOn w:val="Normal"/>
    <w:next w:val="Normal"/>
    <w:autoRedefine/>
    <w:uiPriority w:val="39"/>
    <w:unhideWhenUsed/>
    <w:rsid w:val="00A06E5D"/>
    <w:pPr>
      <w:spacing w:after="0"/>
      <w:ind w:left="1320"/>
    </w:pPr>
    <w:rPr>
      <w:rFonts w:cstheme="minorHAnsi"/>
      <w:sz w:val="20"/>
      <w:szCs w:val="20"/>
    </w:rPr>
  </w:style>
  <w:style w:type="paragraph" w:styleId="TOC9">
    <w:name w:val="toc 9"/>
    <w:basedOn w:val="Normal"/>
    <w:next w:val="Normal"/>
    <w:autoRedefine/>
    <w:uiPriority w:val="39"/>
    <w:unhideWhenUsed/>
    <w:rsid w:val="00A06E5D"/>
    <w:pPr>
      <w:spacing w:after="0"/>
      <w:ind w:left="1540"/>
    </w:pPr>
    <w:rPr>
      <w:rFonts w:cstheme="minorHAnsi"/>
      <w:sz w:val="20"/>
      <w:szCs w:val="20"/>
    </w:rPr>
  </w:style>
  <w:style w:type="character" w:customStyle="1" w:styleId="Heading1Char">
    <w:name w:val="Heading 1 Char"/>
    <w:basedOn w:val="DefaultParagraphFont"/>
    <w:link w:val="Heading1"/>
    <w:uiPriority w:val="9"/>
    <w:rsid w:val="000150A1"/>
    <w:rPr>
      <w:rFonts w:ascii="Avenir Next Condensed" w:eastAsiaTheme="majorEastAsia" w:hAnsi="Avenir Next Condensed" w:cstheme="majorBidi"/>
      <w:color w:val="FF0000"/>
      <w:sz w:val="36"/>
      <w:szCs w:val="32"/>
    </w:rPr>
  </w:style>
  <w:style w:type="character" w:styleId="Hyperlink">
    <w:name w:val="Hyperlink"/>
    <w:basedOn w:val="DefaultParagraphFont"/>
    <w:uiPriority w:val="99"/>
    <w:unhideWhenUsed/>
    <w:rsid w:val="00B851E3"/>
    <w:rPr>
      <w:color w:val="0563C1" w:themeColor="hyperlink"/>
      <w:u w:val="single"/>
    </w:rPr>
  </w:style>
  <w:style w:type="character" w:customStyle="1" w:styleId="Heading2Char">
    <w:name w:val="Heading 2 Char"/>
    <w:basedOn w:val="DefaultParagraphFont"/>
    <w:link w:val="Heading2"/>
    <w:uiPriority w:val="9"/>
    <w:rsid w:val="00C52644"/>
    <w:rPr>
      <w:rFonts w:ascii="Avenir Next Condensed" w:eastAsiaTheme="majorEastAsia" w:hAnsi="Avenir Next Condensed" w:cstheme="majorBidi"/>
      <w:color w:val="000000" w:themeColor="text1"/>
      <w:sz w:val="24"/>
      <w:szCs w:val="24"/>
    </w:rPr>
  </w:style>
  <w:style w:type="table" w:styleId="TableGrid">
    <w:name w:val="Table Grid"/>
    <w:basedOn w:val="TableNormal"/>
    <w:uiPriority w:val="59"/>
    <w:rsid w:val="00E677F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B12AC3"/>
    <w:rPr>
      <w:color w:val="605E5C"/>
      <w:shd w:val="clear" w:color="auto" w:fill="E1DFDD"/>
    </w:rPr>
  </w:style>
  <w:style w:type="paragraph" w:styleId="Header">
    <w:name w:val="header"/>
    <w:basedOn w:val="Normal"/>
    <w:link w:val="HeaderChar"/>
    <w:uiPriority w:val="99"/>
    <w:unhideWhenUsed/>
    <w:rsid w:val="009E5B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5B6A"/>
  </w:style>
  <w:style w:type="paragraph" w:styleId="Footer">
    <w:name w:val="footer"/>
    <w:basedOn w:val="Normal"/>
    <w:link w:val="FooterChar"/>
    <w:uiPriority w:val="99"/>
    <w:unhideWhenUsed/>
    <w:rsid w:val="009E5B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5B6A"/>
  </w:style>
  <w:style w:type="paragraph" w:customStyle="1" w:styleId="Default">
    <w:name w:val="Default"/>
    <w:rsid w:val="0021492C"/>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3D0A9F"/>
    <w:pPr>
      <w:ind w:left="720"/>
      <w:contextualSpacing/>
    </w:pPr>
  </w:style>
  <w:style w:type="character" w:styleId="PageNumber">
    <w:name w:val="page number"/>
    <w:basedOn w:val="DefaultParagraphFont"/>
    <w:uiPriority w:val="99"/>
    <w:semiHidden/>
    <w:unhideWhenUsed/>
    <w:rsid w:val="009220DE"/>
  </w:style>
  <w:style w:type="character" w:customStyle="1" w:styleId="Heading3Char">
    <w:name w:val="Heading 3 Char"/>
    <w:basedOn w:val="DefaultParagraphFont"/>
    <w:link w:val="Heading3"/>
    <w:uiPriority w:val="9"/>
    <w:rsid w:val="00D7283E"/>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BC3D3A"/>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D17555"/>
    <w:rPr>
      <w:rFonts w:asciiTheme="majorHAnsi" w:eastAsiaTheme="majorEastAsia" w:hAnsiTheme="majorHAnsi" w:cstheme="majorBidi"/>
      <w:color w:val="2F5496" w:themeColor="accent1" w:themeShade="BF"/>
    </w:rPr>
  </w:style>
  <w:style w:type="character" w:customStyle="1" w:styleId="outlook-search-highlight">
    <w:name w:val="outlook-search-highlight"/>
    <w:basedOn w:val="DefaultParagraphFont"/>
    <w:rsid w:val="0051405D"/>
  </w:style>
  <w:style w:type="character" w:styleId="CommentReference">
    <w:name w:val="annotation reference"/>
    <w:basedOn w:val="DefaultParagraphFont"/>
    <w:uiPriority w:val="99"/>
    <w:semiHidden/>
    <w:unhideWhenUsed/>
    <w:rsid w:val="0051405D"/>
    <w:rPr>
      <w:sz w:val="16"/>
      <w:szCs w:val="16"/>
    </w:rPr>
  </w:style>
  <w:style w:type="paragraph" w:styleId="CommentText">
    <w:name w:val="annotation text"/>
    <w:basedOn w:val="Normal"/>
    <w:link w:val="CommentTextChar"/>
    <w:uiPriority w:val="99"/>
    <w:unhideWhenUsed/>
    <w:rsid w:val="0051405D"/>
    <w:pPr>
      <w:spacing w:line="240" w:lineRule="auto"/>
    </w:pPr>
    <w:rPr>
      <w:sz w:val="20"/>
      <w:szCs w:val="20"/>
    </w:rPr>
  </w:style>
  <w:style w:type="character" w:customStyle="1" w:styleId="CommentTextChar">
    <w:name w:val="Comment Text Char"/>
    <w:basedOn w:val="DefaultParagraphFont"/>
    <w:link w:val="CommentText"/>
    <w:uiPriority w:val="99"/>
    <w:rsid w:val="0051405D"/>
    <w:rPr>
      <w:sz w:val="20"/>
      <w:szCs w:val="20"/>
    </w:rPr>
  </w:style>
  <w:style w:type="paragraph" w:styleId="CommentSubject">
    <w:name w:val="annotation subject"/>
    <w:basedOn w:val="CommentText"/>
    <w:next w:val="CommentText"/>
    <w:link w:val="CommentSubjectChar"/>
    <w:uiPriority w:val="99"/>
    <w:semiHidden/>
    <w:unhideWhenUsed/>
    <w:rsid w:val="0051405D"/>
    <w:rPr>
      <w:b/>
      <w:bCs/>
    </w:rPr>
  </w:style>
  <w:style w:type="character" w:customStyle="1" w:styleId="CommentSubjectChar">
    <w:name w:val="Comment Subject Char"/>
    <w:basedOn w:val="CommentTextChar"/>
    <w:link w:val="CommentSubject"/>
    <w:uiPriority w:val="99"/>
    <w:semiHidden/>
    <w:rsid w:val="0051405D"/>
    <w:rPr>
      <w:b/>
      <w:bCs/>
      <w:sz w:val="20"/>
      <w:szCs w:val="20"/>
    </w:rPr>
  </w:style>
  <w:style w:type="paragraph" w:styleId="Title">
    <w:name w:val="Title"/>
    <w:basedOn w:val="Normal"/>
    <w:next w:val="Normal"/>
    <w:link w:val="TitleChar"/>
    <w:uiPriority w:val="10"/>
    <w:qFormat/>
    <w:rsid w:val="00B15FA3"/>
    <w:pPr>
      <w:spacing w:after="0" w:line="240" w:lineRule="auto"/>
      <w:contextualSpacing/>
    </w:pPr>
    <w:rPr>
      <w:rFonts w:ascii="Calibri Light" w:eastAsiaTheme="majorEastAsia" w:hAnsi="Calibri Light" w:cstheme="majorBidi"/>
      <w:spacing w:val="-10"/>
      <w:kern w:val="28"/>
      <w:sz w:val="48"/>
      <w:szCs w:val="56"/>
    </w:rPr>
  </w:style>
  <w:style w:type="character" w:customStyle="1" w:styleId="TitleChar">
    <w:name w:val="Title Char"/>
    <w:basedOn w:val="DefaultParagraphFont"/>
    <w:link w:val="Title"/>
    <w:uiPriority w:val="10"/>
    <w:rsid w:val="00B15FA3"/>
    <w:rPr>
      <w:rFonts w:ascii="Calibri Light" w:eastAsiaTheme="majorEastAsia" w:hAnsi="Calibri Light" w:cstheme="majorBidi"/>
      <w:spacing w:val="-10"/>
      <w:kern w:val="28"/>
      <w:sz w:val="48"/>
      <w:szCs w:val="56"/>
    </w:rPr>
  </w:style>
  <w:style w:type="paragraph" w:styleId="NormalWeb">
    <w:name w:val="Normal (Web)"/>
    <w:basedOn w:val="Normal"/>
    <w:uiPriority w:val="99"/>
    <w:unhideWhenUsed/>
    <w:rsid w:val="00533B3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26067F"/>
    <w:pPr>
      <w:spacing w:before="100" w:beforeAutospacing="1" w:after="100" w:afterAutospacing="1" w:line="240" w:lineRule="auto"/>
    </w:pPr>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D8288A"/>
    <w:pPr>
      <w:outlineLvl w:val="9"/>
    </w:pPr>
    <w:rPr>
      <w:rFonts w:asciiTheme="majorHAnsi" w:hAnsiTheme="majorHAnsi"/>
      <w:color w:val="2F5496" w:themeColor="accent1" w:themeShade="BF"/>
      <w:sz w:val="32"/>
    </w:rPr>
  </w:style>
  <w:style w:type="character" w:styleId="Emphasis">
    <w:name w:val="Emphasis"/>
    <w:basedOn w:val="DefaultParagraphFont"/>
    <w:uiPriority w:val="20"/>
    <w:qFormat/>
    <w:rsid w:val="008933FD"/>
    <w:rPr>
      <w:i/>
      <w:iCs/>
    </w:rPr>
  </w:style>
  <w:style w:type="paragraph" w:customStyle="1" w:styleId="LargeHeader">
    <w:name w:val="Large Header"/>
    <w:qFormat/>
    <w:rsid w:val="00782DF4"/>
    <w:pPr>
      <w:spacing w:after="120" w:line="240" w:lineRule="auto"/>
    </w:pPr>
    <w:rPr>
      <w:rFonts w:ascii="Garamond" w:eastAsiaTheme="minorEastAsia" w:hAnsi="Garamond" w:cs="Garamond"/>
      <w:color w:val="00A5B4"/>
      <w:sz w:val="40"/>
      <w:szCs w:val="40"/>
      <w:lang w:val="en-GB"/>
    </w:rPr>
  </w:style>
  <w:style w:type="paragraph" w:customStyle="1" w:styleId="Mainbodycopy">
    <w:name w:val="Main body copy"/>
    <w:qFormat/>
    <w:rsid w:val="00782DF4"/>
    <w:pPr>
      <w:spacing w:after="0" w:line="276" w:lineRule="auto"/>
    </w:pPr>
    <w:rPr>
      <w:rFonts w:ascii="Arial" w:eastAsiaTheme="minorEastAsia" w:hAnsi="Arial" w:cs="ArialMT"/>
      <w:color w:val="58585B"/>
      <w:spacing w:val="2"/>
      <w:sz w:val="20"/>
      <w:szCs w:val="20"/>
      <w:lang w:val="en-GB"/>
    </w:rPr>
  </w:style>
  <w:style w:type="paragraph" w:customStyle="1" w:styleId="Subhead">
    <w:name w:val="Subhead"/>
    <w:basedOn w:val="Mainbodycopy"/>
    <w:qFormat/>
    <w:rsid w:val="00782DF4"/>
    <w:pPr>
      <w:spacing w:before="240" w:after="120"/>
    </w:pPr>
    <w:rPr>
      <w:rFonts w:ascii="Garamond" w:hAnsi="Garamond" w:cs="Garamond"/>
      <w:color w:val="ED7D31" w:themeColor="accent2"/>
      <w:sz w:val="31"/>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8094542">
      <w:bodyDiv w:val="1"/>
      <w:marLeft w:val="0"/>
      <w:marRight w:val="0"/>
      <w:marTop w:val="0"/>
      <w:marBottom w:val="0"/>
      <w:divBdr>
        <w:top w:val="none" w:sz="0" w:space="0" w:color="auto"/>
        <w:left w:val="none" w:sz="0" w:space="0" w:color="auto"/>
        <w:bottom w:val="none" w:sz="0" w:space="0" w:color="auto"/>
        <w:right w:val="none" w:sz="0" w:space="0" w:color="auto"/>
      </w:divBdr>
    </w:div>
    <w:div w:id="19477519">
      <w:bodyDiv w:val="1"/>
      <w:marLeft w:val="0"/>
      <w:marRight w:val="0"/>
      <w:marTop w:val="0"/>
      <w:marBottom w:val="0"/>
      <w:divBdr>
        <w:top w:val="none" w:sz="0" w:space="0" w:color="auto"/>
        <w:left w:val="none" w:sz="0" w:space="0" w:color="auto"/>
        <w:bottom w:val="none" w:sz="0" w:space="0" w:color="auto"/>
        <w:right w:val="none" w:sz="0" w:space="0" w:color="auto"/>
      </w:divBdr>
    </w:div>
    <w:div w:id="23600748">
      <w:bodyDiv w:val="1"/>
      <w:marLeft w:val="0"/>
      <w:marRight w:val="0"/>
      <w:marTop w:val="0"/>
      <w:marBottom w:val="0"/>
      <w:divBdr>
        <w:top w:val="none" w:sz="0" w:space="0" w:color="auto"/>
        <w:left w:val="none" w:sz="0" w:space="0" w:color="auto"/>
        <w:bottom w:val="none" w:sz="0" w:space="0" w:color="auto"/>
        <w:right w:val="none" w:sz="0" w:space="0" w:color="auto"/>
      </w:divBdr>
    </w:div>
    <w:div w:id="25719719">
      <w:bodyDiv w:val="1"/>
      <w:marLeft w:val="0"/>
      <w:marRight w:val="0"/>
      <w:marTop w:val="0"/>
      <w:marBottom w:val="0"/>
      <w:divBdr>
        <w:top w:val="none" w:sz="0" w:space="0" w:color="auto"/>
        <w:left w:val="none" w:sz="0" w:space="0" w:color="auto"/>
        <w:bottom w:val="none" w:sz="0" w:space="0" w:color="auto"/>
        <w:right w:val="none" w:sz="0" w:space="0" w:color="auto"/>
      </w:divBdr>
    </w:div>
    <w:div w:id="45878748">
      <w:bodyDiv w:val="1"/>
      <w:marLeft w:val="0"/>
      <w:marRight w:val="0"/>
      <w:marTop w:val="0"/>
      <w:marBottom w:val="0"/>
      <w:divBdr>
        <w:top w:val="none" w:sz="0" w:space="0" w:color="auto"/>
        <w:left w:val="none" w:sz="0" w:space="0" w:color="auto"/>
        <w:bottom w:val="none" w:sz="0" w:space="0" w:color="auto"/>
        <w:right w:val="none" w:sz="0" w:space="0" w:color="auto"/>
      </w:divBdr>
    </w:div>
    <w:div w:id="64186997">
      <w:bodyDiv w:val="1"/>
      <w:marLeft w:val="0"/>
      <w:marRight w:val="0"/>
      <w:marTop w:val="0"/>
      <w:marBottom w:val="0"/>
      <w:divBdr>
        <w:top w:val="none" w:sz="0" w:space="0" w:color="auto"/>
        <w:left w:val="none" w:sz="0" w:space="0" w:color="auto"/>
        <w:bottom w:val="none" w:sz="0" w:space="0" w:color="auto"/>
        <w:right w:val="none" w:sz="0" w:space="0" w:color="auto"/>
      </w:divBdr>
    </w:div>
    <w:div w:id="93329489">
      <w:bodyDiv w:val="1"/>
      <w:marLeft w:val="0"/>
      <w:marRight w:val="0"/>
      <w:marTop w:val="0"/>
      <w:marBottom w:val="0"/>
      <w:divBdr>
        <w:top w:val="none" w:sz="0" w:space="0" w:color="auto"/>
        <w:left w:val="none" w:sz="0" w:space="0" w:color="auto"/>
        <w:bottom w:val="none" w:sz="0" w:space="0" w:color="auto"/>
        <w:right w:val="none" w:sz="0" w:space="0" w:color="auto"/>
      </w:divBdr>
    </w:div>
    <w:div w:id="95172267">
      <w:bodyDiv w:val="1"/>
      <w:marLeft w:val="0"/>
      <w:marRight w:val="0"/>
      <w:marTop w:val="0"/>
      <w:marBottom w:val="0"/>
      <w:divBdr>
        <w:top w:val="none" w:sz="0" w:space="0" w:color="auto"/>
        <w:left w:val="none" w:sz="0" w:space="0" w:color="auto"/>
        <w:bottom w:val="none" w:sz="0" w:space="0" w:color="auto"/>
        <w:right w:val="none" w:sz="0" w:space="0" w:color="auto"/>
      </w:divBdr>
    </w:div>
    <w:div w:id="97606592">
      <w:bodyDiv w:val="1"/>
      <w:marLeft w:val="0"/>
      <w:marRight w:val="0"/>
      <w:marTop w:val="0"/>
      <w:marBottom w:val="0"/>
      <w:divBdr>
        <w:top w:val="none" w:sz="0" w:space="0" w:color="auto"/>
        <w:left w:val="none" w:sz="0" w:space="0" w:color="auto"/>
        <w:bottom w:val="none" w:sz="0" w:space="0" w:color="auto"/>
        <w:right w:val="none" w:sz="0" w:space="0" w:color="auto"/>
      </w:divBdr>
    </w:div>
    <w:div w:id="99688801">
      <w:bodyDiv w:val="1"/>
      <w:marLeft w:val="0"/>
      <w:marRight w:val="0"/>
      <w:marTop w:val="0"/>
      <w:marBottom w:val="0"/>
      <w:divBdr>
        <w:top w:val="none" w:sz="0" w:space="0" w:color="auto"/>
        <w:left w:val="none" w:sz="0" w:space="0" w:color="auto"/>
        <w:bottom w:val="none" w:sz="0" w:space="0" w:color="auto"/>
        <w:right w:val="none" w:sz="0" w:space="0" w:color="auto"/>
      </w:divBdr>
    </w:div>
    <w:div w:id="106774172">
      <w:bodyDiv w:val="1"/>
      <w:marLeft w:val="0"/>
      <w:marRight w:val="0"/>
      <w:marTop w:val="0"/>
      <w:marBottom w:val="0"/>
      <w:divBdr>
        <w:top w:val="none" w:sz="0" w:space="0" w:color="auto"/>
        <w:left w:val="none" w:sz="0" w:space="0" w:color="auto"/>
        <w:bottom w:val="none" w:sz="0" w:space="0" w:color="auto"/>
        <w:right w:val="none" w:sz="0" w:space="0" w:color="auto"/>
      </w:divBdr>
    </w:div>
    <w:div w:id="218130659">
      <w:bodyDiv w:val="1"/>
      <w:marLeft w:val="0"/>
      <w:marRight w:val="0"/>
      <w:marTop w:val="0"/>
      <w:marBottom w:val="0"/>
      <w:divBdr>
        <w:top w:val="none" w:sz="0" w:space="0" w:color="auto"/>
        <w:left w:val="none" w:sz="0" w:space="0" w:color="auto"/>
        <w:bottom w:val="none" w:sz="0" w:space="0" w:color="auto"/>
        <w:right w:val="none" w:sz="0" w:space="0" w:color="auto"/>
      </w:divBdr>
    </w:div>
    <w:div w:id="263147818">
      <w:bodyDiv w:val="1"/>
      <w:marLeft w:val="0"/>
      <w:marRight w:val="0"/>
      <w:marTop w:val="0"/>
      <w:marBottom w:val="0"/>
      <w:divBdr>
        <w:top w:val="none" w:sz="0" w:space="0" w:color="auto"/>
        <w:left w:val="none" w:sz="0" w:space="0" w:color="auto"/>
        <w:bottom w:val="none" w:sz="0" w:space="0" w:color="auto"/>
        <w:right w:val="none" w:sz="0" w:space="0" w:color="auto"/>
      </w:divBdr>
    </w:div>
    <w:div w:id="280772799">
      <w:bodyDiv w:val="1"/>
      <w:marLeft w:val="0"/>
      <w:marRight w:val="0"/>
      <w:marTop w:val="0"/>
      <w:marBottom w:val="0"/>
      <w:divBdr>
        <w:top w:val="none" w:sz="0" w:space="0" w:color="auto"/>
        <w:left w:val="none" w:sz="0" w:space="0" w:color="auto"/>
        <w:bottom w:val="none" w:sz="0" w:space="0" w:color="auto"/>
        <w:right w:val="none" w:sz="0" w:space="0" w:color="auto"/>
      </w:divBdr>
    </w:div>
    <w:div w:id="417869214">
      <w:bodyDiv w:val="1"/>
      <w:marLeft w:val="0"/>
      <w:marRight w:val="0"/>
      <w:marTop w:val="0"/>
      <w:marBottom w:val="0"/>
      <w:divBdr>
        <w:top w:val="none" w:sz="0" w:space="0" w:color="auto"/>
        <w:left w:val="none" w:sz="0" w:space="0" w:color="auto"/>
        <w:bottom w:val="none" w:sz="0" w:space="0" w:color="auto"/>
        <w:right w:val="none" w:sz="0" w:space="0" w:color="auto"/>
      </w:divBdr>
    </w:div>
    <w:div w:id="477495502">
      <w:bodyDiv w:val="1"/>
      <w:marLeft w:val="0"/>
      <w:marRight w:val="0"/>
      <w:marTop w:val="0"/>
      <w:marBottom w:val="0"/>
      <w:divBdr>
        <w:top w:val="none" w:sz="0" w:space="0" w:color="auto"/>
        <w:left w:val="none" w:sz="0" w:space="0" w:color="auto"/>
        <w:bottom w:val="none" w:sz="0" w:space="0" w:color="auto"/>
        <w:right w:val="none" w:sz="0" w:space="0" w:color="auto"/>
      </w:divBdr>
    </w:div>
    <w:div w:id="496531395">
      <w:bodyDiv w:val="1"/>
      <w:marLeft w:val="0"/>
      <w:marRight w:val="0"/>
      <w:marTop w:val="0"/>
      <w:marBottom w:val="0"/>
      <w:divBdr>
        <w:top w:val="none" w:sz="0" w:space="0" w:color="auto"/>
        <w:left w:val="none" w:sz="0" w:space="0" w:color="auto"/>
        <w:bottom w:val="none" w:sz="0" w:space="0" w:color="auto"/>
        <w:right w:val="none" w:sz="0" w:space="0" w:color="auto"/>
      </w:divBdr>
    </w:div>
    <w:div w:id="534319388">
      <w:bodyDiv w:val="1"/>
      <w:marLeft w:val="0"/>
      <w:marRight w:val="0"/>
      <w:marTop w:val="0"/>
      <w:marBottom w:val="0"/>
      <w:divBdr>
        <w:top w:val="none" w:sz="0" w:space="0" w:color="auto"/>
        <w:left w:val="none" w:sz="0" w:space="0" w:color="auto"/>
        <w:bottom w:val="none" w:sz="0" w:space="0" w:color="auto"/>
        <w:right w:val="none" w:sz="0" w:space="0" w:color="auto"/>
      </w:divBdr>
    </w:div>
    <w:div w:id="549851003">
      <w:bodyDiv w:val="1"/>
      <w:marLeft w:val="0"/>
      <w:marRight w:val="0"/>
      <w:marTop w:val="0"/>
      <w:marBottom w:val="0"/>
      <w:divBdr>
        <w:top w:val="none" w:sz="0" w:space="0" w:color="auto"/>
        <w:left w:val="none" w:sz="0" w:space="0" w:color="auto"/>
        <w:bottom w:val="none" w:sz="0" w:space="0" w:color="auto"/>
        <w:right w:val="none" w:sz="0" w:space="0" w:color="auto"/>
      </w:divBdr>
    </w:div>
    <w:div w:id="552928350">
      <w:bodyDiv w:val="1"/>
      <w:marLeft w:val="0"/>
      <w:marRight w:val="0"/>
      <w:marTop w:val="0"/>
      <w:marBottom w:val="0"/>
      <w:divBdr>
        <w:top w:val="none" w:sz="0" w:space="0" w:color="auto"/>
        <w:left w:val="none" w:sz="0" w:space="0" w:color="auto"/>
        <w:bottom w:val="none" w:sz="0" w:space="0" w:color="auto"/>
        <w:right w:val="none" w:sz="0" w:space="0" w:color="auto"/>
      </w:divBdr>
      <w:divsChild>
        <w:div w:id="438835653">
          <w:marLeft w:val="0"/>
          <w:marRight w:val="0"/>
          <w:marTop w:val="0"/>
          <w:marBottom w:val="0"/>
          <w:divBdr>
            <w:top w:val="none" w:sz="0" w:space="0" w:color="auto"/>
            <w:left w:val="none" w:sz="0" w:space="0" w:color="auto"/>
            <w:bottom w:val="none" w:sz="0" w:space="0" w:color="auto"/>
            <w:right w:val="none" w:sz="0" w:space="0" w:color="auto"/>
          </w:divBdr>
          <w:divsChild>
            <w:div w:id="1206596806">
              <w:marLeft w:val="0"/>
              <w:marRight w:val="0"/>
              <w:marTop w:val="0"/>
              <w:marBottom w:val="0"/>
              <w:divBdr>
                <w:top w:val="none" w:sz="0" w:space="0" w:color="auto"/>
                <w:left w:val="none" w:sz="0" w:space="0" w:color="auto"/>
                <w:bottom w:val="none" w:sz="0" w:space="0" w:color="auto"/>
                <w:right w:val="none" w:sz="0" w:space="0" w:color="auto"/>
              </w:divBdr>
              <w:divsChild>
                <w:div w:id="1250390469">
                  <w:marLeft w:val="0"/>
                  <w:marRight w:val="0"/>
                  <w:marTop w:val="0"/>
                  <w:marBottom w:val="0"/>
                  <w:divBdr>
                    <w:top w:val="none" w:sz="0" w:space="0" w:color="auto"/>
                    <w:left w:val="none" w:sz="0" w:space="0" w:color="auto"/>
                    <w:bottom w:val="none" w:sz="0" w:space="0" w:color="auto"/>
                    <w:right w:val="none" w:sz="0" w:space="0" w:color="auto"/>
                  </w:divBdr>
                  <w:divsChild>
                    <w:div w:id="891307148">
                      <w:marLeft w:val="0"/>
                      <w:marRight w:val="0"/>
                      <w:marTop w:val="0"/>
                      <w:marBottom w:val="0"/>
                      <w:divBdr>
                        <w:top w:val="none" w:sz="0" w:space="0" w:color="auto"/>
                        <w:left w:val="none" w:sz="0" w:space="0" w:color="auto"/>
                        <w:bottom w:val="none" w:sz="0" w:space="0" w:color="auto"/>
                        <w:right w:val="none" w:sz="0" w:space="0" w:color="auto"/>
                      </w:divBdr>
                      <w:divsChild>
                        <w:div w:id="930158815">
                          <w:marLeft w:val="0"/>
                          <w:marRight w:val="0"/>
                          <w:marTop w:val="0"/>
                          <w:marBottom w:val="0"/>
                          <w:divBdr>
                            <w:top w:val="none" w:sz="0" w:space="0" w:color="auto"/>
                            <w:left w:val="none" w:sz="0" w:space="0" w:color="auto"/>
                            <w:bottom w:val="none" w:sz="0" w:space="0" w:color="auto"/>
                            <w:right w:val="none" w:sz="0" w:space="0" w:color="auto"/>
                          </w:divBdr>
                          <w:divsChild>
                            <w:div w:id="530265155">
                              <w:marLeft w:val="0"/>
                              <w:marRight w:val="0"/>
                              <w:marTop w:val="0"/>
                              <w:marBottom w:val="0"/>
                              <w:divBdr>
                                <w:top w:val="none" w:sz="0" w:space="0" w:color="auto"/>
                                <w:left w:val="none" w:sz="0" w:space="0" w:color="auto"/>
                                <w:bottom w:val="none" w:sz="0" w:space="0" w:color="auto"/>
                                <w:right w:val="none" w:sz="0" w:space="0" w:color="auto"/>
                              </w:divBdr>
                              <w:divsChild>
                                <w:div w:id="2105763634">
                                  <w:marLeft w:val="0"/>
                                  <w:marRight w:val="0"/>
                                  <w:marTop w:val="0"/>
                                  <w:marBottom w:val="0"/>
                                  <w:divBdr>
                                    <w:top w:val="none" w:sz="0" w:space="0" w:color="auto"/>
                                    <w:left w:val="none" w:sz="0" w:space="0" w:color="auto"/>
                                    <w:bottom w:val="none" w:sz="0" w:space="0" w:color="auto"/>
                                    <w:right w:val="none" w:sz="0" w:space="0" w:color="auto"/>
                                  </w:divBdr>
                                  <w:divsChild>
                                    <w:div w:id="714963486">
                                      <w:marLeft w:val="0"/>
                                      <w:marRight w:val="0"/>
                                      <w:marTop w:val="0"/>
                                      <w:marBottom w:val="0"/>
                                      <w:divBdr>
                                        <w:top w:val="none" w:sz="0" w:space="0" w:color="auto"/>
                                        <w:left w:val="none" w:sz="0" w:space="0" w:color="auto"/>
                                        <w:bottom w:val="none" w:sz="0" w:space="0" w:color="auto"/>
                                        <w:right w:val="none" w:sz="0" w:space="0" w:color="auto"/>
                                      </w:divBdr>
                                      <w:divsChild>
                                        <w:div w:id="40314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4788339">
          <w:marLeft w:val="0"/>
          <w:marRight w:val="0"/>
          <w:marTop w:val="0"/>
          <w:marBottom w:val="0"/>
          <w:divBdr>
            <w:top w:val="none" w:sz="0" w:space="0" w:color="auto"/>
            <w:left w:val="none" w:sz="0" w:space="0" w:color="auto"/>
            <w:bottom w:val="single" w:sz="6" w:space="0" w:color="F9FBFD"/>
            <w:right w:val="none" w:sz="0" w:space="0" w:color="auto"/>
          </w:divBdr>
          <w:divsChild>
            <w:div w:id="472798977">
              <w:marLeft w:val="0"/>
              <w:marRight w:val="0"/>
              <w:marTop w:val="0"/>
              <w:marBottom w:val="0"/>
              <w:divBdr>
                <w:top w:val="none" w:sz="0" w:space="0" w:color="auto"/>
                <w:left w:val="none" w:sz="0" w:space="0" w:color="auto"/>
                <w:bottom w:val="none" w:sz="0" w:space="0" w:color="auto"/>
                <w:right w:val="none" w:sz="0" w:space="0" w:color="auto"/>
              </w:divBdr>
              <w:divsChild>
                <w:div w:id="2103866156">
                  <w:marLeft w:val="0"/>
                  <w:marRight w:val="0"/>
                  <w:marTop w:val="0"/>
                  <w:marBottom w:val="0"/>
                  <w:divBdr>
                    <w:top w:val="none" w:sz="0" w:space="0" w:color="auto"/>
                    <w:left w:val="none" w:sz="0" w:space="0" w:color="auto"/>
                    <w:bottom w:val="none" w:sz="0" w:space="0" w:color="auto"/>
                    <w:right w:val="none" w:sz="0" w:space="0" w:color="auto"/>
                  </w:divBdr>
                  <w:divsChild>
                    <w:div w:id="404761800">
                      <w:marLeft w:val="0"/>
                      <w:marRight w:val="0"/>
                      <w:marTop w:val="0"/>
                      <w:marBottom w:val="0"/>
                      <w:divBdr>
                        <w:top w:val="none" w:sz="0" w:space="0" w:color="auto"/>
                        <w:left w:val="none" w:sz="0" w:space="0" w:color="auto"/>
                        <w:bottom w:val="single" w:sz="6" w:space="0" w:color="C0C0C0"/>
                        <w:right w:val="none" w:sz="0" w:space="0" w:color="auto"/>
                      </w:divBdr>
                      <w:divsChild>
                        <w:div w:id="2118015410">
                          <w:marLeft w:val="0"/>
                          <w:marRight w:val="0"/>
                          <w:marTop w:val="0"/>
                          <w:marBottom w:val="0"/>
                          <w:divBdr>
                            <w:top w:val="none" w:sz="0" w:space="0" w:color="auto"/>
                            <w:left w:val="none" w:sz="0" w:space="0" w:color="auto"/>
                            <w:bottom w:val="none" w:sz="0" w:space="0" w:color="auto"/>
                            <w:right w:val="none" w:sz="0" w:space="0" w:color="auto"/>
                          </w:divBdr>
                          <w:divsChild>
                            <w:div w:id="1153327074">
                              <w:marLeft w:val="0"/>
                              <w:marRight w:val="0"/>
                              <w:marTop w:val="0"/>
                              <w:marBottom w:val="0"/>
                              <w:divBdr>
                                <w:top w:val="none" w:sz="0" w:space="0" w:color="auto"/>
                                <w:left w:val="none" w:sz="0" w:space="0" w:color="auto"/>
                                <w:bottom w:val="none" w:sz="0" w:space="0" w:color="auto"/>
                                <w:right w:val="none" w:sz="0" w:space="0" w:color="auto"/>
                              </w:divBdr>
                              <w:divsChild>
                                <w:div w:id="1840731357">
                                  <w:marLeft w:val="0"/>
                                  <w:marRight w:val="0"/>
                                  <w:marTop w:val="0"/>
                                  <w:marBottom w:val="0"/>
                                  <w:divBdr>
                                    <w:top w:val="none" w:sz="0" w:space="0" w:color="auto"/>
                                    <w:left w:val="none" w:sz="0" w:space="0" w:color="auto"/>
                                    <w:bottom w:val="none" w:sz="0" w:space="0" w:color="auto"/>
                                    <w:right w:val="none" w:sz="0" w:space="0" w:color="auto"/>
                                  </w:divBdr>
                                  <w:divsChild>
                                    <w:div w:id="1598556947">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734458">
      <w:bodyDiv w:val="1"/>
      <w:marLeft w:val="0"/>
      <w:marRight w:val="0"/>
      <w:marTop w:val="0"/>
      <w:marBottom w:val="0"/>
      <w:divBdr>
        <w:top w:val="none" w:sz="0" w:space="0" w:color="auto"/>
        <w:left w:val="none" w:sz="0" w:space="0" w:color="auto"/>
        <w:bottom w:val="none" w:sz="0" w:space="0" w:color="auto"/>
        <w:right w:val="none" w:sz="0" w:space="0" w:color="auto"/>
      </w:divBdr>
    </w:div>
    <w:div w:id="575555040">
      <w:bodyDiv w:val="1"/>
      <w:marLeft w:val="0"/>
      <w:marRight w:val="0"/>
      <w:marTop w:val="0"/>
      <w:marBottom w:val="0"/>
      <w:divBdr>
        <w:top w:val="none" w:sz="0" w:space="0" w:color="auto"/>
        <w:left w:val="none" w:sz="0" w:space="0" w:color="auto"/>
        <w:bottom w:val="none" w:sz="0" w:space="0" w:color="auto"/>
        <w:right w:val="none" w:sz="0" w:space="0" w:color="auto"/>
      </w:divBdr>
    </w:div>
    <w:div w:id="575937299">
      <w:bodyDiv w:val="1"/>
      <w:marLeft w:val="0"/>
      <w:marRight w:val="0"/>
      <w:marTop w:val="0"/>
      <w:marBottom w:val="0"/>
      <w:divBdr>
        <w:top w:val="none" w:sz="0" w:space="0" w:color="auto"/>
        <w:left w:val="none" w:sz="0" w:space="0" w:color="auto"/>
        <w:bottom w:val="none" w:sz="0" w:space="0" w:color="auto"/>
        <w:right w:val="none" w:sz="0" w:space="0" w:color="auto"/>
      </w:divBdr>
    </w:div>
    <w:div w:id="617033337">
      <w:bodyDiv w:val="1"/>
      <w:marLeft w:val="0"/>
      <w:marRight w:val="0"/>
      <w:marTop w:val="0"/>
      <w:marBottom w:val="0"/>
      <w:divBdr>
        <w:top w:val="none" w:sz="0" w:space="0" w:color="auto"/>
        <w:left w:val="none" w:sz="0" w:space="0" w:color="auto"/>
        <w:bottom w:val="none" w:sz="0" w:space="0" w:color="auto"/>
        <w:right w:val="none" w:sz="0" w:space="0" w:color="auto"/>
      </w:divBdr>
    </w:div>
    <w:div w:id="618268080">
      <w:bodyDiv w:val="1"/>
      <w:marLeft w:val="0"/>
      <w:marRight w:val="0"/>
      <w:marTop w:val="0"/>
      <w:marBottom w:val="0"/>
      <w:divBdr>
        <w:top w:val="none" w:sz="0" w:space="0" w:color="auto"/>
        <w:left w:val="none" w:sz="0" w:space="0" w:color="auto"/>
        <w:bottom w:val="none" w:sz="0" w:space="0" w:color="auto"/>
        <w:right w:val="none" w:sz="0" w:space="0" w:color="auto"/>
      </w:divBdr>
    </w:div>
    <w:div w:id="634869095">
      <w:bodyDiv w:val="1"/>
      <w:marLeft w:val="0"/>
      <w:marRight w:val="0"/>
      <w:marTop w:val="0"/>
      <w:marBottom w:val="0"/>
      <w:divBdr>
        <w:top w:val="none" w:sz="0" w:space="0" w:color="auto"/>
        <w:left w:val="none" w:sz="0" w:space="0" w:color="auto"/>
        <w:bottom w:val="none" w:sz="0" w:space="0" w:color="auto"/>
        <w:right w:val="none" w:sz="0" w:space="0" w:color="auto"/>
      </w:divBdr>
    </w:div>
    <w:div w:id="644966160">
      <w:bodyDiv w:val="1"/>
      <w:marLeft w:val="0"/>
      <w:marRight w:val="0"/>
      <w:marTop w:val="0"/>
      <w:marBottom w:val="0"/>
      <w:divBdr>
        <w:top w:val="none" w:sz="0" w:space="0" w:color="auto"/>
        <w:left w:val="none" w:sz="0" w:space="0" w:color="auto"/>
        <w:bottom w:val="none" w:sz="0" w:space="0" w:color="auto"/>
        <w:right w:val="none" w:sz="0" w:space="0" w:color="auto"/>
      </w:divBdr>
    </w:div>
    <w:div w:id="657195478">
      <w:bodyDiv w:val="1"/>
      <w:marLeft w:val="0"/>
      <w:marRight w:val="0"/>
      <w:marTop w:val="0"/>
      <w:marBottom w:val="0"/>
      <w:divBdr>
        <w:top w:val="none" w:sz="0" w:space="0" w:color="auto"/>
        <w:left w:val="none" w:sz="0" w:space="0" w:color="auto"/>
        <w:bottom w:val="none" w:sz="0" w:space="0" w:color="auto"/>
        <w:right w:val="none" w:sz="0" w:space="0" w:color="auto"/>
      </w:divBdr>
    </w:div>
    <w:div w:id="700741177">
      <w:bodyDiv w:val="1"/>
      <w:marLeft w:val="0"/>
      <w:marRight w:val="0"/>
      <w:marTop w:val="0"/>
      <w:marBottom w:val="0"/>
      <w:divBdr>
        <w:top w:val="none" w:sz="0" w:space="0" w:color="auto"/>
        <w:left w:val="none" w:sz="0" w:space="0" w:color="auto"/>
        <w:bottom w:val="none" w:sz="0" w:space="0" w:color="auto"/>
        <w:right w:val="none" w:sz="0" w:space="0" w:color="auto"/>
      </w:divBdr>
    </w:div>
    <w:div w:id="716663725">
      <w:bodyDiv w:val="1"/>
      <w:marLeft w:val="0"/>
      <w:marRight w:val="0"/>
      <w:marTop w:val="0"/>
      <w:marBottom w:val="0"/>
      <w:divBdr>
        <w:top w:val="none" w:sz="0" w:space="0" w:color="auto"/>
        <w:left w:val="none" w:sz="0" w:space="0" w:color="auto"/>
        <w:bottom w:val="none" w:sz="0" w:space="0" w:color="auto"/>
        <w:right w:val="none" w:sz="0" w:space="0" w:color="auto"/>
      </w:divBdr>
    </w:div>
    <w:div w:id="744571949">
      <w:bodyDiv w:val="1"/>
      <w:marLeft w:val="0"/>
      <w:marRight w:val="0"/>
      <w:marTop w:val="0"/>
      <w:marBottom w:val="0"/>
      <w:divBdr>
        <w:top w:val="none" w:sz="0" w:space="0" w:color="auto"/>
        <w:left w:val="none" w:sz="0" w:space="0" w:color="auto"/>
        <w:bottom w:val="none" w:sz="0" w:space="0" w:color="auto"/>
        <w:right w:val="none" w:sz="0" w:space="0" w:color="auto"/>
      </w:divBdr>
    </w:div>
    <w:div w:id="765610495">
      <w:bodyDiv w:val="1"/>
      <w:marLeft w:val="0"/>
      <w:marRight w:val="0"/>
      <w:marTop w:val="0"/>
      <w:marBottom w:val="0"/>
      <w:divBdr>
        <w:top w:val="none" w:sz="0" w:space="0" w:color="auto"/>
        <w:left w:val="none" w:sz="0" w:space="0" w:color="auto"/>
        <w:bottom w:val="none" w:sz="0" w:space="0" w:color="auto"/>
        <w:right w:val="none" w:sz="0" w:space="0" w:color="auto"/>
      </w:divBdr>
    </w:div>
    <w:div w:id="799150090">
      <w:bodyDiv w:val="1"/>
      <w:marLeft w:val="0"/>
      <w:marRight w:val="0"/>
      <w:marTop w:val="0"/>
      <w:marBottom w:val="0"/>
      <w:divBdr>
        <w:top w:val="none" w:sz="0" w:space="0" w:color="auto"/>
        <w:left w:val="none" w:sz="0" w:space="0" w:color="auto"/>
        <w:bottom w:val="none" w:sz="0" w:space="0" w:color="auto"/>
        <w:right w:val="none" w:sz="0" w:space="0" w:color="auto"/>
      </w:divBdr>
    </w:div>
    <w:div w:id="811756540">
      <w:bodyDiv w:val="1"/>
      <w:marLeft w:val="0"/>
      <w:marRight w:val="0"/>
      <w:marTop w:val="0"/>
      <w:marBottom w:val="0"/>
      <w:divBdr>
        <w:top w:val="none" w:sz="0" w:space="0" w:color="auto"/>
        <w:left w:val="none" w:sz="0" w:space="0" w:color="auto"/>
        <w:bottom w:val="none" w:sz="0" w:space="0" w:color="auto"/>
        <w:right w:val="none" w:sz="0" w:space="0" w:color="auto"/>
      </w:divBdr>
    </w:div>
    <w:div w:id="896553309">
      <w:bodyDiv w:val="1"/>
      <w:marLeft w:val="0"/>
      <w:marRight w:val="0"/>
      <w:marTop w:val="0"/>
      <w:marBottom w:val="0"/>
      <w:divBdr>
        <w:top w:val="none" w:sz="0" w:space="0" w:color="auto"/>
        <w:left w:val="none" w:sz="0" w:space="0" w:color="auto"/>
        <w:bottom w:val="none" w:sz="0" w:space="0" w:color="auto"/>
        <w:right w:val="none" w:sz="0" w:space="0" w:color="auto"/>
      </w:divBdr>
    </w:div>
    <w:div w:id="902524438">
      <w:bodyDiv w:val="1"/>
      <w:marLeft w:val="0"/>
      <w:marRight w:val="0"/>
      <w:marTop w:val="0"/>
      <w:marBottom w:val="0"/>
      <w:divBdr>
        <w:top w:val="none" w:sz="0" w:space="0" w:color="auto"/>
        <w:left w:val="none" w:sz="0" w:space="0" w:color="auto"/>
        <w:bottom w:val="none" w:sz="0" w:space="0" w:color="auto"/>
        <w:right w:val="none" w:sz="0" w:space="0" w:color="auto"/>
      </w:divBdr>
    </w:div>
    <w:div w:id="932012133">
      <w:bodyDiv w:val="1"/>
      <w:marLeft w:val="0"/>
      <w:marRight w:val="0"/>
      <w:marTop w:val="0"/>
      <w:marBottom w:val="0"/>
      <w:divBdr>
        <w:top w:val="none" w:sz="0" w:space="0" w:color="auto"/>
        <w:left w:val="none" w:sz="0" w:space="0" w:color="auto"/>
        <w:bottom w:val="none" w:sz="0" w:space="0" w:color="auto"/>
        <w:right w:val="none" w:sz="0" w:space="0" w:color="auto"/>
      </w:divBdr>
    </w:div>
    <w:div w:id="932276160">
      <w:bodyDiv w:val="1"/>
      <w:marLeft w:val="0"/>
      <w:marRight w:val="0"/>
      <w:marTop w:val="0"/>
      <w:marBottom w:val="0"/>
      <w:divBdr>
        <w:top w:val="none" w:sz="0" w:space="0" w:color="auto"/>
        <w:left w:val="none" w:sz="0" w:space="0" w:color="auto"/>
        <w:bottom w:val="none" w:sz="0" w:space="0" w:color="auto"/>
        <w:right w:val="none" w:sz="0" w:space="0" w:color="auto"/>
      </w:divBdr>
    </w:div>
    <w:div w:id="939527280">
      <w:bodyDiv w:val="1"/>
      <w:marLeft w:val="0"/>
      <w:marRight w:val="0"/>
      <w:marTop w:val="0"/>
      <w:marBottom w:val="0"/>
      <w:divBdr>
        <w:top w:val="none" w:sz="0" w:space="0" w:color="auto"/>
        <w:left w:val="none" w:sz="0" w:space="0" w:color="auto"/>
        <w:bottom w:val="none" w:sz="0" w:space="0" w:color="auto"/>
        <w:right w:val="none" w:sz="0" w:space="0" w:color="auto"/>
      </w:divBdr>
    </w:div>
    <w:div w:id="996109913">
      <w:bodyDiv w:val="1"/>
      <w:marLeft w:val="0"/>
      <w:marRight w:val="0"/>
      <w:marTop w:val="0"/>
      <w:marBottom w:val="0"/>
      <w:divBdr>
        <w:top w:val="none" w:sz="0" w:space="0" w:color="auto"/>
        <w:left w:val="none" w:sz="0" w:space="0" w:color="auto"/>
        <w:bottom w:val="none" w:sz="0" w:space="0" w:color="auto"/>
        <w:right w:val="none" w:sz="0" w:space="0" w:color="auto"/>
      </w:divBdr>
    </w:div>
    <w:div w:id="1008557269">
      <w:bodyDiv w:val="1"/>
      <w:marLeft w:val="0"/>
      <w:marRight w:val="0"/>
      <w:marTop w:val="0"/>
      <w:marBottom w:val="0"/>
      <w:divBdr>
        <w:top w:val="none" w:sz="0" w:space="0" w:color="auto"/>
        <w:left w:val="none" w:sz="0" w:space="0" w:color="auto"/>
        <w:bottom w:val="none" w:sz="0" w:space="0" w:color="auto"/>
        <w:right w:val="none" w:sz="0" w:space="0" w:color="auto"/>
      </w:divBdr>
    </w:div>
    <w:div w:id="1011377479">
      <w:bodyDiv w:val="1"/>
      <w:marLeft w:val="0"/>
      <w:marRight w:val="0"/>
      <w:marTop w:val="0"/>
      <w:marBottom w:val="0"/>
      <w:divBdr>
        <w:top w:val="none" w:sz="0" w:space="0" w:color="auto"/>
        <w:left w:val="none" w:sz="0" w:space="0" w:color="auto"/>
        <w:bottom w:val="none" w:sz="0" w:space="0" w:color="auto"/>
        <w:right w:val="none" w:sz="0" w:space="0" w:color="auto"/>
      </w:divBdr>
    </w:div>
    <w:div w:id="1016343431">
      <w:bodyDiv w:val="1"/>
      <w:marLeft w:val="0"/>
      <w:marRight w:val="0"/>
      <w:marTop w:val="0"/>
      <w:marBottom w:val="0"/>
      <w:divBdr>
        <w:top w:val="none" w:sz="0" w:space="0" w:color="auto"/>
        <w:left w:val="none" w:sz="0" w:space="0" w:color="auto"/>
        <w:bottom w:val="none" w:sz="0" w:space="0" w:color="auto"/>
        <w:right w:val="none" w:sz="0" w:space="0" w:color="auto"/>
      </w:divBdr>
    </w:div>
    <w:div w:id="1022707032">
      <w:bodyDiv w:val="1"/>
      <w:marLeft w:val="0"/>
      <w:marRight w:val="0"/>
      <w:marTop w:val="0"/>
      <w:marBottom w:val="0"/>
      <w:divBdr>
        <w:top w:val="none" w:sz="0" w:space="0" w:color="auto"/>
        <w:left w:val="none" w:sz="0" w:space="0" w:color="auto"/>
        <w:bottom w:val="none" w:sz="0" w:space="0" w:color="auto"/>
        <w:right w:val="none" w:sz="0" w:space="0" w:color="auto"/>
      </w:divBdr>
    </w:div>
    <w:div w:id="1060398944">
      <w:bodyDiv w:val="1"/>
      <w:marLeft w:val="0"/>
      <w:marRight w:val="0"/>
      <w:marTop w:val="0"/>
      <w:marBottom w:val="0"/>
      <w:divBdr>
        <w:top w:val="none" w:sz="0" w:space="0" w:color="auto"/>
        <w:left w:val="none" w:sz="0" w:space="0" w:color="auto"/>
        <w:bottom w:val="none" w:sz="0" w:space="0" w:color="auto"/>
        <w:right w:val="none" w:sz="0" w:space="0" w:color="auto"/>
      </w:divBdr>
    </w:div>
    <w:div w:id="1063913889">
      <w:bodyDiv w:val="1"/>
      <w:marLeft w:val="0"/>
      <w:marRight w:val="0"/>
      <w:marTop w:val="0"/>
      <w:marBottom w:val="0"/>
      <w:divBdr>
        <w:top w:val="none" w:sz="0" w:space="0" w:color="auto"/>
        <w:left w:val="none" w:sz="0" w:space="0" w:color="auto"/>
        <w:bottom w:val="none" w:sz="0" w:space="0" w:color="auto"/>
        <w:right w:val="none" w:sz="0" w:space="0" w:color="auto"/>
      </w:divBdr>
    </w:div>
    <w:div w:id="1107432191">
      <w:bodyDiv w:val="1"/>
      <w:marLeft w:val="0"/>
      <w:marRight w:val="0"/>
      <w:marTop w:val="0"/>
      <w:marBottom w:val="0"/>
      <w:divBdr>
        <w:top w:val="none" w:sz="0" w:space="0" w:color="auto"/>
        <w:left w:val="none" w:sz="0" w:space="0" w:color="auto"/>
        <w:bottom w:val="none" w:sz="0" w:space="0" w:color="auto"/>
        <w:right w:val="none" w:sz="0" w:space="0" w:color="auto"/>
      </w:divBdr>
    </w:div>
    <w:div w:id="1110856353">
      <w:bodyDiv w:val="1"/>
      <w:marLeft w:val="0"/>
      <w:marRight w:val="0"/>
      <w:marTop w:val="0"/>
      <w:marBottom w:val="0"/>
      <w:divBdr>
        <w:top w:val="none" w:sz="0" w:space="0" w:color="auto"/>
        <w:left w:val="none" w:sz="0" w:space="0" w:color="auto"/>
        <w:bottom w:val="none" w:sz="0" w:space="0" w:color="auto"/>
        <w:right w:val="none" w:sz="0" w:space="0" w:color="auto"/>
      </w:divBdr>
    </w:div>
    <w:div w:id="1121192535">
      <w:bodyDiv w:val="1"/>
      <w:marLeft w:val="0"/>
      <w:marRight w:val="0"/>
      <w:marTop w:val="0"/>
      <w:marBottom w:val="0"/>
      <w:divBdr>
        <w:top w:val="none" w:sz="0" w:space="0" w:color="auto"/>
        <w:left w:val="none" w:sz="0" w:space="0" w:color="auto"/>
        <w:bottom w:val="none" w:sz="0" w:space="0" w:color="auto"/>
        <w:right w:val="none" w:sz="0" w:space="0" w:color="auto"/>
      </w:divBdr>
    </w:div>
    <w:div w:id="1134063350">
      <w:bodyDiv w:val="1"/>
      <w:marLeft w:val="0"/>
      <w:marRight w:val="0"/>
      <w:marTop w:val="0"/>
      <w:marBottom w:val="0"/>
      <w:divBdr>
        <w:top w:val="none" w:sz="0" w:space="0" w:color="auto"/>
        <w:left w:val="none" w:sz="0" w:space="0" w:color="auto"/>
        <w:bottom w:val="none" w:sz="0" w:space="0" w:color="auto"/>
        <w:right w:val="none" w:sz="0" w:space="0" w:color="auto"/>
      </w:divBdr>
    </w:div>
    <w:div w:id="1197234473">
      <w:bodyDiv w:val="1"/>
      <w:marLeft w:val="0"/>
      <w:marRight w:val="0"/>
      <w:marTop w:val="0"/>
      <w:marBottom w:val="0"/>
      <w:divBdr>
        <w:top w:val="none" w:sz="0" w:space="0" w:color="auto"/>
        <w:left w:val="none" w:sz="0" w:space="0" w:color="auto"/>
        <w:bottom w:val="none" w:sz="0" w:space="0" w:color="auto"/>
        <w:right w:val="none" w:sz="0" w:space="0" w:color="auto"/>
      </w:divBdr>
    </w:div>
    <w:div w:id="1231114050">
      <w:bodyDiv w:val="1"/>
      <w:marLeft w:val="0"/>
      <w:marRight w:val="0"/>
      <w:marTop w:val="0"/>
      <w:marBottom w:val="0"/>
      <w:divBdr>
        <w:top w:val="none" w:sz="0" w:space="0" w:color="auto"/>
        <w:left w:val="none" w:sz="0" w:space="0" w:color="auto"/>
        <w:bottom w:val="none" w:sz="0" w:space="0" w:color="auto"/>
        <w:right w:val="none" w:sz="0" w:space="0" w:color="auto"/>
      </w:divBdr>
    </w:div>
    <w:div w:id="1360861484">
      <w:bodyDiv w:val="1"/>
      <w:marLeft w:val="0"/>
      <w:marRight w:val="0"/>
      <w:marTop w:val="0"/>
      <w:marBottom w:val="0"/>
      <w:divBdr>
        <w:top w:val="none" w:sz="0" w:space="0" w:color="auto"/>
        <w:left w:val="none" w:sz="0" w:space="0" w:color="auto"/>
        <w:bottom w:val="none" w:sz="0" w:space="0" w:color="auto"/>
        <w:right w:val="none" w:sz="0" w:space="0" w:color="auto"/>
      </w:divBdr>
    </w:div>
    <w:div w:id="1466005370">
      <w:bodyDiv w:val="1"/>
      <w:marLeft w:val="0"/>
      <w:marRight w:val="0"/>
      <w:marTop w:val="0"/>
      <w:marBottom w:val="0"/>
      <w:divBdr>
        <w:top w:val="none" w:sz="0" w:space="0" w:color="auto"/>
        <w:left w:val="none" w:sz="0" w:space="0" w:color="auto"/>
        <w:bottom w:val="none" w:sz="0" w:space="0" w:color="auto"/>
        <w:right w:val="none" w:sz="0" w:space="0" w:color="auto"/>
      </w:divBdr>
    </w:div>
    <w:div w:id="1562911861">
      <w:bodyDiv w:val="1"/>
      <w:marLeft w:val="0"/>
      <w:marRight w:val="0"/>
      <w:marTop w:val="0"/>
      <w:marBottom w:val="0"/>
      <w:divBdr>
        <w:top w:val="none" w:sz="0" w:space="0" w:color="auto"/>
        <w:left w:val="none" w:sz="0" w:space="0" w:color="auto"/>
        <w:bottom w:val="none" w:sz="0" w:space="0" w:color="auto"/>
        <w:right w:val="none" w:sz="0" w:space="0" w:color="auto"/>
      </w:divBdr>
    </w:div>
    <w:div w:id="1595288641">
      <w:bodyDiv w:val="1"/>
      <w:marLeft w:val="0"/>
      <w:marRight w:val="0"/>
      <w:marTop w:val="0"/>
      <w:marBottom w:val="0"/>
      <w:divBdr>
        <w:top w:val="none" w:sz="0" w:space="0" w:color="auto"/>
        <w:left w:val="none" w:sz="0" w:space="0" w:color="auto"/>
        <w:bottom w:val="none" w:sz="0" w:space="0" w:color="auto"/>
        <w:right w:val="none" w:sz="0" w:space="0" w:color="auto"/>
      </w:divBdr>
    </w:div>
    <w:div w:id="1618833468">
      <w:bodyDiv w:val="1"/>
      <w:marLeft w:val="0"/>
      <w:marRight w:val="0"/>
      <w:marTop w:val="0"/>
      <w:marBottom w:val="0"/>
      <w:divBdr>
        <w:top w:val="none" w:sz="0" w:space="0" w:color="auto"/>
        <w:left w:val="none" w:sz="0" w:space="0" w:color="auto"/>
        <w:bottom w:val="none" w:sz="0" w:space="0" w:color="auto"/>
        <w:right w:val="none" w:sz="0" w:space="0" w:color="auto"/>
      </w:divBdr>
    </w:div>
    <w:div w:id="1688798089">
      <w:bodyDiv w:val="1"/>
      <w:marLeft w:val="0"/>
      <w:marRight w:val="0"/>
      <w:marTop w:val="0"/>
      <w:marBottom w:val="0"/>
      <w:divBdr>
        <w:top w:val="none" w:sz="0" w:space="0" w:color="auto"/>
        <w:left w:val="none" w:sz="0" w:space="0" w:color="auto"/>
        <w:bottom w:val="none" w:sz="0" w:space="0" w:color="auto"/>
        <w:right w:val="none" w:sz="0" w:space="0" w:color="auto"/>
      </w:divBdr>
    </w:div>
    <w:div w:id="1705860660">
      <w:bodyDiv w:val="1"/>
      <w:marLeft w:val="0"/>
      <w:marRight w:val="0"/>
      <w:marTop w:val="0"/>
      <w:marBottom w:val="0"/>
      <w:divBdr>
        <w:top w:val="none" w:sz="0" w:space="0" w:color="auto"/>
        <w:left w:val="none" w:sz="0" w:space="0" w:color="auto"/>
        <w:bottom w:val="none" w:sz="0" w:space="0" w:color="auto"/>
        <w:right w:val="none" w:sz="0" w:space="0" w:color="auto"/>
      </w:divBdr>
    </w:div>
    <w:div w:id="1747725009">
      <w:bodyDiv w:val="1"/>
      <w:marLeft w:val="0"/>
      <w:marRight w:val="0"/>
      <w:marTop w:val="0"/>
      <w:marBottom w:val="0"/>
      <w:divBdr>
        <w:top w:val="none" w:sz="0" w:space="0" w:color="auto"/>
        <w:left w:val="none" w:sz="0" w:space="0" w:color="auto"/>
        <w:bottom w:val="none" w:sz="0" w:space="0" w:color="auto"/>
        <w:right w:val="none" w:sz="0" w:space="0" w:color="auto"/>
      </w:divBdr>
    </w:div>
    <w:div w:id="1771706557">
      <w:bodyDiv w:val="1"/>
      <w:marLeft w:val="0"/>
      <w:marRight w:val="0"/>
      <w:marTop w:val="0"/>
      <w:marBottom w:val="0"/>
      <w:divBdr>
        <w:top w:val="none" w:sz="0" w:space="0" w:color="auto"/>
        <w:left w:val="none" w:sz="0" w:space="0" w:color="auto"/>
        <w:bottom w:val="none" w:sz="0" w:space="0" w:color="auto"/>
        <w:right w:val="none" w:sz="0" w:space="0" w:color="auto"/>
      </w:divBdr>
    </w:div>
    <w:div w:id="1793357386">
      <w:bodyDiv w:val="1"/>
      <w:marLeft w:val="0"/>
      <w:marRight w:val="0"/>
      <w:marTop w:val="0"/>
      <w:marBottom w:val="0"/>
      <w:divBdr>
        <w:top w:val="none" w:sz="0" w:space="0" w:color="auto"/>
        <w:left w:val="none" w:sz="0" w:space="0" w:color="auto"/>
        <w:bottom w:val="none" w:sz="0" w:space="0" w:color="auto"/>
        <w:right w:val="none" w:sz="0" w:space="0" w:color="auto"/>
      </w:divBdr>
    </w:div>
    <w:div w:id="1806580219">
      <w:bodyDiv w:val="1"/>
      <w:marLeft w:val="0"/>
      <w:marRight w:val="0"/>
      <w:marTop w:val="0"/>
      <w:marBottom w:val="0"/>
      <w:divBdr>
        <w:top w:val="none" w:sz="0" w:space="0" w:color="auto"/>
        <w:left w:val="none" w:sz="0" w:space="0" w:color="auto"/>
        <w:bottom w:val="none" w:sz="0" w:space="0" w:color="auto"/>
        <w:right w:val="none" w:sz="0" w:space="0" w:color="auto"/>
      </w:divBdr>
    </w:div>
    <w:div w:id="1826898369">
      <w:bodyDiv w:val="1"/>
      <w:marLeft w:val="0"/>
      <w:marRight w:val="0"/>
      <w:marTop w:val="0"/>
      <w:marBottom w:val="0"/>
      <w:divBdr>
        <w:top w:val="none" w:sz="0" w:space="0" w:color="auto"/>
        <w:left w:val="none" w:sz="0" w:space="0" w:color="auto"/>
        <w:bottom w:val="none" w:sz="0" w:space="0" w:color="auto"/>
        <w:right w:val="none" w:sz="0" w:space="0" w:color="auto"/>
      </w:divBdr>
    </w:div>
    <w:div w:id="1935089850">
      <w:bodyDiv w:val="1"/>
      <w:marLeft w:val="0"/>
      <w:marRight w:val="0"/>
      <w:marTop w:val="0"/>
      <w:marBottom w:val="0"/>
      <w:divBdr>
        <w:top w:val="none" w:sz="0" w:space="0" w:color="auto"/>
        <w:left w:val="none" w:sz="0" w:space="0" w:color="auto"/>
        <w:bottom w:val="none" w:sz="0" w:space="0" w:color="auto"/>
        <w:right w:val="none" w:sz="0" w:space="0" w:color="auto"/>
      </w:divBdr>
    </w:div>
    <w:div w:id="1950892133">
      <w:bodyDiv w:val="1"/>
      <w:marLeft w:val="0"/>
      <w:marRight w:val="0"/>
      <w:marTop w:val="0"/>
      <w:marBottom w:val="0"/>
      <w:divBdr>
        <w:top w:val="none" w:sz="0" w:space="0" w:color="auto"/>
        <w:left w:val="none" w:sz="0" w:space="0" w:color="auto"/>
        <w:bottom w:val="none" w:sz="0" w:space="0" w:color="auto"/>
        <w:right w:val="none" w:sz="0" w:space="0" w:color="auto"/>
      </w:divBdr>
    </w:div>
    <w:div w:id="2051373220">
      <w:bodyDiv w:val="1"/>
      <w:marLeft w:val="0"/>
      <w:marRight w:val="0"/>
      <w:marTop w:val="0"/>
      <w:marBottom w:val="0"/>
      <w:divBdr>
        <w:top w:val="none" w:sz="0" w:space="0" w:color="auto"/>
        <w:left w:val="none" w:sz="0" w:space="0" w:color="auto"/>
        <w:bottom w:val="none" w:sz="0" w:space="0" w:color="auto"/>
        <w:right w:val="none" w:sz="0" w:space="0" w:color="auto"/>
      </w:divBdr>
      <w:divsChild>
        <w:div w:id="275797854">
          <w:marLeft w:val="0"/>
          <w:marRight w:val="0"/>
          <w:marTop w:val="0"/>
          <w:marBottom w:val="0"/>
          <w:divBdr>
            <w:top w:val="none" w:sz="0" w:space="0" w:color="auto"/>
            <w:left w:val="none" w:sz="0" w:space="0" w:color="auto"/>
            <w:bottom w:val="none" w:sz="0" w:space="0" w:color="auto"/>
            <w:right w:val="none" w:sz="0" w:space="0" w:color="auto"/>
          </w:divBdr>
        </w:div>
        <w:div w:id="1544710248">
          <w:marLeft w:val="0"/>
          <w:marRight w:val="0"/>
          <w:marTop w:val="0"/>
          <w:marBottom w:val="0"/>
          <w:divBdr>
            <w:top w:val="none" w:sz="0" w:space="0" w:color="auto"/>
            <w:left w:val="none" w:sz="0" w:space="0" w:color="auto"/>
            <w:bottom w:val="none" w:sz="0" w:space="0" w:color="auto"/>
            <w:right w:val="none" w:sz="0" w:space="0" w:color="auto"/>
          </w:divBdr>
        </w:div>
      </w:divsChild>
    </w:div>
    <w:div w:id="2056926414">
      <w:bodyDiv w:val="1"/>
      <w:marLeft w:val="0"/>
      <w:marRight w:val="0"/>
      <w:marTop w:val="0"/>
      <w:marBottom w:val="0"/>
      <w:divBdr>
        <w:top w:val="none" w:sz="0" w:space="0" w:color="auto"/>
        <w:left w:val="none" w:sz="0" w:space="0" w:color="auto"/>
        <w:bottom w:val="none" w:sz="0" w:space="0" w:color="auto"/>
        <w:right w:val="none" w:sz="0" w:space="0" w:color="auto"/>
      </w:divBdr>
    </w:div>
    <w:div w:id="2109884098">
      <w:bodyDiv w:val="1"/>
      <w:marLeft w:val="0"/>
      <w:marRight w:val="0"/>
      <w:marTop w:val="0"/>
      <w:marBottom w:val="0"/>
      <w:divBdr>
        <w:top w:val="none" w:sz="0" w:space="0" w:color="auto"/>
        <w:left w:val="none" w:sz="0" w:space="0" w:color="auto"/>
        <w:bottom w:val="none" w:sz="0" w:space="0" w:color="auto"/>
        <w:right w:val="none" w:sz="0" w:space="0" w:color="auto"/>
      </w:divBdr>
    </w:div>
    <w:div w:id="2117482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mailto:isabel.lamb@berkeley.edu" TargetMode="External"/><Relationship Id="rId26" Type="http://schemas.openxmlformats.org/officeDocument/2006/relationships/hyperlink" Target="mailto:lindadelcid@berkeley.edu" TargetMode="External"/><Relationship Id="rId39" Type="http://schemas.openxmlformats.org/officeDocument/2006/relationships/hyperlink" Target="mailto:oyageshio@ucdavis.edu" TargetMode="External"/><Relationship Id="rId21" Type="http://schemas.openxmlformats.org/officeDocument/2006/relationships/hyperlink" Target="mailto:rishikabaral@berkeley.edu" TargetMode="External"/><Relationship Id="rId34" Type="http://schemas.openxmlformats.org/officeDocument/2006/relationships/hyperlink" Target="mailto:jillian.kadota@ucsf.edu" TargetMode="External"/><Relationship Id="rId42" Type="http://schemas.openxmlformats.org/officeDocument/2006/relationships/hyperlink" Target="mailto:yashleen.sharma@ucsf.edu" TargetMode="External"/><Relationship Id="rId47" Type="http://schemas.openxmlformats.org/officeDocument/2006/relationships/hyperlink" Target="mailto:qiaow2@hs.uci.edu" TargetMode="External"/><Relationship Id="rId50"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2.png"/><Relationship Id="rId29" Type="http://schemas.openxmlformats.org/officeDocument/2006/relationships/hyperlink" Target="mailto:sarah.feid@ucsf.edu" TargetMode="External"/><Relationship Id="rId11" Type="http://schemas.openxmlformats.org/officeDocument/2006/relationships/image" Target="media/image1.png"/><Relationship Id="rId24" Type="http://schemas.openxmlformats.org/officeDocument/2006/relationships/hyperlink" Target="mailto:mariko.costantini@ucsf.edu" TargetMode="External"/><Relationship Id="rId32" Type="http://schemas.openxmlformats.org/officeDocument/2006/relationships/hyperlink" Target="mailto:mollie.hudson@ucsf.edu" TargetMode="External"/><Relationship Id="rId37" Type="http://schemas.openxmlformats.org/officeDocument/2006/relationships/hyperlink" Target="mailto:rutuja.nerurkar@ucsf.edu" TargetMode="External"/><Relationship Id="rId40" Type="http://schemas.openxmlformats.org/officeDocument/2006/relationships/hyperlink" Target="mailto:pooreh@hs.uci.edu" TargetMode="External"/><Relationship Id="rId45" Type="http://schemas.openxmlformats.org/officeDocument/2006/relationships/hyperlink" Target="mailto:anjelica.vance@ucsf.edu" TargetMode="Externa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mailto:Robert.Castro@ucsf.edu" TargetMode="External"/><Relationship Id="rId28" Type="http://schemas.openxmlformats.org/officeDocument/2006/relationships/hyperlink" Target="mailto:mark.fajans@ucsf.edu" TargetMode="External"/><Relationship Id="rId36" Type="http://schemas.openxmlformats.org/officeDocument/2006/relationships/hyperlink" Target="mailto:naythra.narayanan@ucsf.edu" TargetMode="External"/><Relationship Id="rId49"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mailto:crae@berkeley.edu" TargetMode="External"/><Relationship Id="rId31" Type="http://schemas.openxmlformats.org/officeDocument/2006/relationships/hyperlink" Target="mailto:qgavin@hs.uci.edu" TargetMode="External"/><Relationship Id="rId44" Type="http://schemas.openxmlformats.org/officeDocument/2006/relationships/hyperlink" Target="mailto:stan@fluxus.bio"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mailto:jonathan.budzik2@ucsf.edu" TargetMode="External"/><Relationship Id="rId27" Type="http://schemas.openxmlformats.org/officeDocument/2006/relationships/hyperlink" Target="mailto:ramadarweesh908@gmail.com" TargetMode="External"/><Relationship Id="rId30" Type="http://schemas.openxmlformats.org/officeDocument/2006/relationships/hyperlink" Target="mailto:feigao94@stanford.edu" TargetMode="External"/><Relationship Id="rId35" Type="http://schemas.openxmlformats.org/officeDocument/2006/relationships/hyperlink" Target="mailto:caitlin.moe@ucsf.edu" TargetMode="External"/><Relationship Id="rId43" Type="http://schemas.openxmlformats.org/officeDocument/2006/relationships/hyperlink" Target="mailto:brindasrn@berkeley.edu" TargetMode="External"/><Relationship Id="rId48" Type="http://schemas.openxmlformats.org/officeDocument/2006/relationships/header" Target="header4.xml"/><Relationship Id="rId8" Type="http://schemas.openxmlformats.org/officeDocument/2006/relationships/webSettings" Target="webSetting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mailto:ekeifean@stanford.edu" TargetMode="External"/><Relationship Id="rId25" Type="http://schemas.openxmlformats.org/officeDocument/2006/relationships/hyperlink" Target="mailto:fatoumatta.darboe@ucsf.edu" TargetMode="External"/><Relationship Id="rId33" Type="http://schemas.openxmlformats.org/officeDocument/2006/relationships/hyperlink" Target="mailto:taranomcjavid@gmail.com" TargetMode="External"/><Relationship Id="rId38" Type="http://schemas.openxmlformats.org/officeDocument/2006/relationships/hyperlink" Target="mailto:aofarrel@ucsc.edu" TargetMode="External"/><Relationship Id="rId46" Type="http://schemas.openxmlformats.org/officeDocument/2006/relationships/hyperlink" Target="mailto:epviana@stanford.edu" TargetMode="External"/><Relationship Id="rId20" Type="http://schemas.openxmlformats.org/officeDocument/2006/relationships/hyperlink" Target="mailto:rachel.abbott@ucsf.edu" TargetMode="External"/><Relationship Id="rId41" Type="http://schemas.openxmlformats.org/officeDocument/2006/relationships/hyperlink" Target="mailto:sumanth.reddy@ucsf.edu" TargetMode="Externa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4576df1-a815-4e56-a1e4-e70d28e449aa">
      <Terms xmlns="http://schemas.microsoft.com/office/infopath/2007/PartnerControls"/>
    </lcf76f155ced4ddcb4097134ff3c332f>
    <TaxCatchAll xmlns="ce37cbaf-0d2a-4c41-809f-29fddd8c39cf"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BD139DF5B43354AABBD0A2E5FBD7A04" ma:contentTypeVersion="18" ma:contentTypeDescription="Create a new document." ma:contentTypeScope="" ma:versionID="5915df98dbcc173554ebba18c031eb08">
  <xsd:schema xmlns:xsd="http://www.w3.org/2001/XMLSchema" xmlns:xs="http://www.w3.org/2001/XMLSchema" xmlns:p="http://schemas.microsoft.com/office/2006/metadata/properties" xmlns:ns2="84576df1-a815-4e56-a1e4-e70d28e449aa" xmlns:ns3="ce37cbaf-0d2a-4c41-809f-29fddd8c39cf" targetNamespace="http://schemas.microsoft.com/office/2006/metadata/properties" ma:root="true" ma:fieldsID="2ced692af65bd8ad64c36d0e2aa96159" ns2:_="" ns3:_="">
    <xsd:import namespace="84576df1-a815-4e56-a1e4-e70d28e449aa"/>
    <xsd:import namespace="ce37cbaf-0d2a-4c41-809f-29fddd8c39c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lcf76f155ced4ddcb4097134ff3c332f" minOccurs="0"/>
                <xsd:element ref="ns3:TaxCatchAll"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576df1-a815-4e56-a1e4-e70d28e449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973eda6-ee47-49cd-8b90-1ba368fd384e"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37cbaf-0d2a-4c41-809f-29fddd8c39c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398bc186-0464-4892-af51-d9001cd35ef0}" ma:internalName="TaxCatchAll" ma:showField="CatchAllData" ma:web="ce37cbaf-0d2a-4c41-809f-29fddd8c39c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E3D872-2051-465A-BA99-F840FEB7E968}">
  <ds:schemaRefs>
    <ds:schemaRef ds:uri="http://schemas.microsoft.com/sharepoint/v3/contenttype/forms"/>
  </ds:schemaRefs>
</ds:datastoreItem>
</file>

<file path=customXml/itemProps2.xml><?xml version="1.0" encoding="utf-8"?>
<ds:datastoreItem xmlns:ds="http://schemas.openxmlformats.org/officeDocument/2006/customXml" ds:itemID="{4EF40C87-A02C-4861-BB42-26B4D306B712}">
  <ds:schemaRefs>
    <ds:schemaRef ds:uri="http://schemas.microsoft.com/office/2006/metadata/properties"/>
    <ds:schemaRef ds:uri="http://schemas.microsoft.com/office/infopath/2007/PartnerControls"/>
    <ds:schemaRef ds:uri="84576df1-a815-4e56-a1e4-e70d28e449aa"/>
    <ds:schemaRef ds:uri="ce37cbaf-0d2a-4c41-809f-29fddd8c39cf"/>
  </ds:schemaRefs>
</ds:datastoreItem>
</file>

<file path=customXml/itemProps3.xml><?xml version="1.0" encoding="utf-8"?>
<ds:datastoreItem xmlns:ds="http://schemas.openxmlformats.org/officeDocument/2006/customXml" ds:itemID="{7BD259A5-A044-9E43-9A68-C3BF77A46A21}">
  <ds:schemaRefs>
    <ds:schemaRef ds:uri="http://schemas.openxmlformats.org/officeDocument/2006/bibliography"/>
  </ds:schemaRefs>
</ds:datastoreItem>
</file>

<file path=customXml/itemProps4.xml><?xml version="1.0" encoding="utf-8"?>
<ds:datastoreItem xmlns:ds="http://schemas.openxmlformats.org/officeDocument/2006/customXml" ds:itemID="{C9CC9D12-2826-4351-AF43-612FDD4909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576df1-a815-4e56-a1e4-e70d28e449aa"/>
    <ds:schemaRef ds:uri="ce37cbaf-0d2a-4c41-809f-29fddd8c39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43</Pages>
  <Words>14158</Words>
  <Characters>80703</Characters>
  <Application>Microsoft Office Word</Application>
  <DocSecurity>0</DocSecurity>
  <Lines>672</Lines>
  <Paragraphs>189</Paragraphs>
  <ScaleCrop>false</ScaleCrop>
  <Company/>
  <LinksUpToDate>false</LinksUpToDate>
  <CharactersWithSpaces>94672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Alonso, Barbara</dc:creator>
  <cp:keywords/>
  <dc:description/>
  <cp:lastModifiedBy>Alonso, Barbara</cp:lastModifiedBy>
  <cp:revision>8</cp:revision>
  <cp:lastPrinted>2025-09-23T21:38:00Z</cp:lastPrinted>
  <dcterms:created xsi:type="dcterms:W3CDTF">2026-08-14T21:08:00Z</dcterms:created>
  <dcterms:modified xsi:type="dcterms:W3CDTF">2026-08-27T20:23:00Z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0x010100BBD139DF5B43354AABBD0A2E5FBD7A04</vt:lpwstr>
  </property>
  <property fmtid="{D5CDD505-2E9C-101B-9397-08002B2CF9AE}" pid="3" name="MediaServiceImageTags">
    <vt:lpwstr/>
  </property>
</Properties>
</file>